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40" w:rsidRDefault="00137640" w:rsidP="0013764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1</w:t>
      </w:r>
    </w:p>
    <w:p w:rsidR="00137640" w:rsidRDefault="00137640" w:rsidP="00137640">
      <w:pPr>
        <w:jc w:val="center"/>
        <w:rPr>
          <w:sz w:val="26"/>
          <w:szCs w:val="26"/>
        </w:rPr>
      </w:pPr>
    </w:p>
    <w:p w:rsidR="00137640" w:rsidRDefault="00137640" w:rsidP="001376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Установчих зборів за участю інститутів громадянського суспільства для формування складу громадської ради </w:t>
      </w:r>
      <w:r w:rsidR="00FE31D5">
        <w:rPr>
          <w:sz w:val="26"/>
          <w:szCs w:val="26"/>
        </w:rPr>
        <w:t>пр</w:t>
      </w:r>
      <w:r>
        <w:rPr>
          <w:sz w:val="26"/>
          <w:szCs w:val="26"/>
        </w:rPr>
        <w:t>и департаменті житлово-комунального господарства Миколаївської міської ради</w:t>
      </w:r>
    </w:p>
    <w:p w:rsidR="00137640" w:rsidRDefault="00137640" w:rsidP="00137640">
      <w:pPr>
        <w:jc w:val="center"/>
        <w:rPr>
          <w:sz w:val="26"/>
          <w:szCs w:val="26"/>
        </w:rPr>
      </w:pPr>
    </w:p>
    <w:p w:rsidR="00137640" w:rsidRDefault="00137640" w:rsidP="00137640">
      <w:pPr>
        <w:jc w:val="both"/>
        <w:rPr>
          <w:sz w:val="26"/>
          <w:szCs w:val="26"/>
        </w:rPr>
      </w:pPr>
      <w:r>
        <w:rPr>
          <w:sz w:val="26"/>
          <w:szCs w:val="26"/>
        </w:rPr>
        <w:t>04.11.2020                                                                                                     м. Миколаїв</w:t>
      </w:r>
    </w:p>
    <w:p w:rsidR="00137640" w:rsidRDefault="00137640" w:rsidP="001376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Зайцева Л.Л. - член ініціативної групи з підготовки та проведення установчих зборів громадської ради;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член ініціативної групи з підготовки та проведення установчих зборів громадської ради;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Юлевич</w:t>
      </w:r>
      <w:proofErr w:type="spellEnd"/>
      <w:r>
        <w:rPr>
          <w:sz w:val="26"/>
          <w:szCs w:val="26"/>
        </w:rPr>
        <w:t xml:space="preserve"> О.М. -  голова ради організації роботодавців «Миколаївська обласна організація роботодавців підприємств  житлово-комунальної галузі «Житло-Миколаїв»;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голова ОСББ «ЛЮМЕРА»;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Петровський С.В. – представник ГО «Заводська РО ветеранів Афганістану і АТО м. Миколаєва»;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Кутуков</w:t>
      </w:r>
      <w:proofErr w:type="spellEnd"/>
      <w:r>
        <w:rPr>
          <w:sz w:val="26"/>
          <w:szCs w:val="26"/>
        </w:rPr>
        <w:t xml:space="preserve"> В.М. – голова ОСББ «Ольвія»;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 – голова ОСББ «</w:t>
      </w:r>
      <w:proofErr w:type="spellStart"/>
      <w:r>
        <w:rPr>
          <w:sz w:val="26"/>
          <w:szCs w:val="26"/>
        </w:rPr>
        <w:t>Новобузька</w:t>
      </w:r>
      <w:proofErr w:type="spellEnd"/>
      <w:r>
        <w:rPr>
          <w:sz w:val="26"/>
          <w:szCs w:val="26"/>
        </w:rPr>
        <w:t xml:space="preserve"> 99»;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Шевчук І.Т. – ГО «Ресурсний центр підтримки ОСББ м. Миколаєва»;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3B0D43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РиковськийС.О</w:t>
      </w:r>
      <w:proofErr w:type="spellEnd"/>
      <w:r>
        <w:rPr>
          <w:sz w:val="26"/>
          <w:szCs w:val="26"/>
        </w:rPr>
        <w:t>.</w:t>
      </w:r>
      <w:r w:rsidR="00137640">
        <w:rPr>
          <w:sz w:val="26"/>
          <w:szCs w:val="26"/>
        </w:rPr>
        <w:t xml:space="preserve"> – ГО «</w:t>
      </w:r>
      <w:r>
        <w:rPr>
          <w:sz w:val="26"/>
          <w:szCs w:val="26"/>
        </w:rPr>
        <w:t>Миколаївське обласне козацьке товариство Всеукраїнського громадського об’єднання «Всеукраїнське козацьке військо»</w:t>
      </w:r>
      <w:r w:rsidR="00137640">
        <w:rPr>
          <w:sz w:val="26"/>
          <w:szCs w:val="26"/>
        </w:rPr>
        <w:t>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3B0D43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</w:t>
      </w:r>
      <w:r w:rsidR="00137640">
        <w:rPr>
          <w:sz w:val="26"/>
          <w:szCs w:val="26"/>
        </w:rPr>
        <w:t xml:space="preserve"> – </w:t>
      </w:r>
      <w:r>
        <w:rPr>
          <w:sz w:val="26"/>
          <w:szCs w:val="26"/>
        </w:rPr>
        <w:t>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 w:rsidR="00137640">
        <w:rPr>
          <w:sz w:val="26"/>
          <w:szCs w:val="26"/>
        </w:rPr>
        <w:t>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С.М. – </w:t>
      </w:r>
      <w:r w:rsidR="003B0D43">
        <w:rPr>
          <w:sz w:val="26"/>
          <w:szCs w:val="26"/>
        </w:rPr>
        <w:t>голова ГО «Миколаївська обласна федерація веслування на байдарках та каное»</w:t>
      </w:r>
      <w:r>
        <w:rPr>
          <w:sz w:val="26"/>
          <w:szCs w:val="26"/>
        </w:rPr>
        <w:t>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Антоненко М.О. – </w:t>
      </w:r>
      <w:r w:rsidR="003B0D43">
        <w:rPr>
          <w:sz w:val="26"/>
          <w:szCs w:val="26"/>
        </w:rPr>
        <w:t>голова ГО «Асоціація ОСББ м. Миколаєва»</w:t>
      </w:r>
      <w:r>
        <w:rPr>
          <w:sz w:val="26"/>
          <w:szCs w:val="26"/>
        </w:rPr>
        <w:t>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ГО «Миколаївська обласна об’єднана організація учасників бойових дій, локальних конфліктів, інвалідів та ветеранів»;</w:t>
      </w:r>
    </w:p>
    <w:p w:rsidR="003B0D43" w:rsidRDefault="00137640" w:rsidP="003B0D4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Недибалюк</w:t>
      </w:r>
      <w:proofErr w:type="spellEnd"/>
      <w:r>
        <w:rPr>
          <w:sz w:val="26"/>
          <w:szCs w:val="26"/>
        </w:rPr>
        <w:t xml:space="preserve"> О.Г.</w:t>
      </w:r>
      <w:r w:rsidR="003B0D43">
        <w:rPr>
          <w:sz w:val="26"/>
          <w:szCs w:val="26"/>
        </w:rPr>
        <w:t xml:space="preserve"> – ГО «Центр соціально-економічних та політичних досліджень «Перспектива»;</w:t>
      </w:r>
    </w:p>
    <w:p w:rsidR="003B0D43" w:rsidRDefault="003B0D43" w:rsidP="003B0D43">
      <w:pPr>
        <w:ind w:firstLine="708"/>
        <w:jc w:val="both"/>
        <w:rPr>
          <w:sz w:val="26"/>
          <w:szCs w:val="26"/>
        </w:rPr>
      </w:pPr>
    </w:p>
    <w:p w:rsidR="003B0D43" w:rsidRDefault="003B0D43" w:rsidP="003B0D4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 – голова ОСББ «Паркове-1»;</w:t>
      </w:r>
    </w:p>
    <w:p w:rsidR="003B0D43" w:rsidRDefault="003B0D43" w:rsidP="003B0D43">
      <w:pPr>
        <w:ind w:firstLine="708"/>
        <w:jc w:val="both"/>
        <w:rPr>
          <w:sz w:val="26"/>
          <w:szCs w:val="26"/>
        </w:rPr>
      </w:pPr>
    </w:p>
    <w:p w:rsidR="003B0D43" w:rsidRDefault="003B0D43" w:rsidP="003B0D4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Остапейко</w:t>
      </w:r>
      <w:proofErr w:type="spellEnd"/>
      <w:r>
        <w:rPr>
          <w:sz w:val="26"/>
          <w:szCs w:val="26"/>
        </w:rPr>
        <w:t xml:space="preserve"> С.В. – голова ОСББ «НІКАСТАР 4Ж»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виконання протокольного доручення засідання ініціативної групи з підготовки та проведення установчих зборів від </w:t>
      </w:r>
      <w:r w:rsidR="002E0C19">
        <w:rPr>
          <w:sz w:val="26"/>
          <w:szCs w:val="26"/>
        </w:rPr>
        <w:t>10</w:t>
      </w:r>
      <w:r>
        <w:rPr>
          <w:sz w:val="26"/>
          <w:szCs w:val="26"/>
        </w:rPr>
        <w:t>.09.20</w:t>
      </w:r>
      <w:r w:rsidR="002E0C19">
        <w:rPr>
          <w:sz w:val="26"/>
          <w:szCs w:val="26"/>
        </w:rPr>
        <w:t>20</w:t>
      </w:r>
      <w:r>
        <w:rPr>
          <w:sz w:val="26"/>
          <w:szCs w:val="26"/>
        </w:rPr>
        <w:t xml:space="preserve"> та з метою можливості голосування всім представникам громадських організацій та суб’єктів голосування, які заявились до участі в установчих зборах  були надані мандати.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137640" w:rsidRDefault="00137640" w:rsidP="00137640">
      <w:pPr>
        <w:jc w:val="both"/>
        <w:rPr>
          <w:sz w:val="26"/>
          <w:szCs w:val="26"/>
        </w:rPr>
      </w:pPr>
    </w:p>
    <w:p w:rsidR="00137640" w:rsidRDefault="00137640" w:rsidP="00137640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1. </w:t>
      </w:r>
      <w:r>
        <w:rPr>
          <w:sz w:val="26"/>
          <w:szCs w:val="26"/>
        </w:rPr>
        <w:t>Інформація ініціативної групи про проведену роботу з підготовки установчих зборів;</w:t>
      </w:r>
    </w:p>
    <w:p w:rsidR="00137640" w:rsidRDefault="00137640" w:rsidP="0013764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2. Формування громадської ради: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E31D5">
        <w:rPr>
          <w:sz w:val="26"/>
          <w:szCs w:val="26"/>
        </w:rPr>
        <w:t>1</w:t>
      </w:r>
      <w:r>
        <w:rPr>
          <w:sz w:val="26"/>
          <w:szCs w:val="26"/>
        </w:rPr>
        <w:t>. затвердження складу громадської ради (рейтингове голосування бюлетенями),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Інші питання у межах компетенції установчих зборів (проект положення, бланку,  логотипу). Визначення дати наступних зборів.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</w:p>
    <w:p w:rsidR="00137640" w:rsidRDefault="00137640" w:rsidP="00137640">
      <w:pPr>
        <w:ind w:left="360"/>
        <w:jc w:val="both"/>
        <w:rPr>
          <w:b/>
          <w:i/>
          <w:sz w:val="26"/>
          <w:szCs w:val="26"/>
        </w:rPr>
      </w:pPr>
    </w:p>
    <w:p w:rsidR="00137640" w:rsidRDefault="00137640" w:rsidP="00137640">
      <w:pPr>
        <w:ind w:left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Розгляд питань порядку денного: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 першого питання виступив </w:t>
      </w:r>
      <w:r>
        <w:rPr>
          <w:sz w:val="26"/>
          <w:szCs w:val="26"/>
        </w:rPr>
        <w:t xml:space="preserve">голова ініціативної групи з підготовки та проведення установчих зборів </w:t>
      </w:r>
      <w:r w:rsidR="003B0D43">
        <w:rPr>
          <w:sz w:val="26"/>
          <w:szCs w:val="26"/>
        </w:rPr>
        <w:t>Кучеренко М.К.</w:t>
      </w:r>
      <w:r>
        <w:rPr>
          <w:sz w:val="26"/>
          <w:szCs w:val="26"/>
        </w:rPr>
        <w:t xml:space="preserve"> Він повідомив, що дана ініціативна група створена на підставі</w:t>
      </w:r>
      <w:r w:rsidR="00B64546">
        <w:rPr>
          <w:sz w:val="26"/>
          <w:szCs w:val="26"/>
        </w:rPr>
        <w:t xml:space="preserve"> розпорядження директора департаменту ЖКГ ММР від 04.09.2020 № 648</w:t>
      </w:r>
      <w:r>
        <w:rPr>
          <w:sz w:val="26"/>
          <w:szCs w:val="26"/>
        </w:rPr>
        <w:t xml:space="preserve"> . ЇЇ мета забезпечення участі громадськості у формуванні складу громадської ради при департаменті ЖКГ ММР.  Протягом 2-х місяців відбулось </w:t>
      </w:r>
      <w:r w:rsidR="003B0D43">
        <w:rPr>
          <w:sz w:val="26"/>
          <w:szCs w:val="26"/>
        </w:rPr>
        <w:t>три</w:t>
      </w:r>
      <w:r>
        <w:rPr>
          <w:sz w:val="26"/>
          <w:szCs w:val="26"/>
        </w:rPr>
        <w:t xml:space="preserve"> засідання ініціативної групи, складено</w:t>
      </w:r>
      <w:r w:rsidR="003B0D43">
        <w:rPr>
          <w:sz w:val="26"/>
          <w:szCs w:val="26"/>
        </w:rPr>
        <w:t xml:space="preserve"> три</w:t>
      </w:r>
      <w:r>
        <w:rPr>
          <w:sz w:val="26"/>
          <w:szCs w:val="26"/>
        </w:rPr>
        <w:t xml:space="preserve"> протоколи з відповідними завданнями.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 питання формування громадської ради:</w:t>
      </w:r>
    </w:p>
    <w:p w:rsidR="00137640" w:rsidRDefault="00137640" w:rsidP="00137640">
      <w:pPr>
        <w:ind w:left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По п.2.</w:t>
      </w:r>
      <w:r w:rsidR="00FE31D5">
        <w:rPr>
          <w:sz w:val="26"/>
          <w:szCs w:val="26"/>
        </w:rPr>
        <w:t>1</w:t>
      </w:r>
      <w:r>
        <w:rPr>
          <w:sz w:val="26"/>
          <w:szCs w:val="26"/>
        </w:rPr>
        <w:t xml:space="preserve">. за підсумками рейтингового голосування бюлетенями до складу громадської ради 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увійшли</w:t>
      </w:r>
      <w:proofErr w:type="spellEnd"/>
      <w:r>
        <w:rPr>
          <w:sz w:val="26"/>
          <w:szCs w:val="26"/>
          <w:lang w:val="ru-RU"/>
        </w:rPr>
        <w:t xml:space="preserve"> :</w:t>
      </w:r>
    </w:p>
    <w:p w:rsidR="00137640" w:rsidRDefault="00137640" w:rsidP="00137640">
      <w:pPr>
        <w:ind w:left="1701"/>
        <w:jc w:val="center"/>
        <w:rPr>
          <w:b/>
          <w:sz w:val="28"/>
          <w:szCs w:val="28"/>
        </w:rPr>
      </w:pPr>
    </w:p>
    <w:tbl>
      <w:tblPr>
        <w:tblW w:w="884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160"/>
        <w:gridCol w:w="3305"/>
        <w:gridCol w:w="2244"/>
      </w:tblGrid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П.І.Б.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Представництво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Кількість набраних голосів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pStyle w:val="a3"/>
              <w:spacing w:line="276" w:lineRule="auto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Pr="00111AF4" w:rsidRDefault="00111AF4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111AF4">
              <w:rPr>
                <w:sz w:val="20"/>
                <w:szCs w:val="20"/>
                <w:lang w:val="uk-UA" w:eastAsia="en-US"/>
              </w:rPr>
              <w:t>Баін</w:t>
            </w:r>
            <w:proofErr w:type="spellEnd"/>
            <w:r w:rsidRPr="00111AF4">
              <w:rPr>
                <w:sz w:val="20"/>
                <w:szCs w:val="20"/>
                <w:lang w:val="uk-UA" w:eastAsia="en-US"/>
              </w:rPr>
              <w:t xml:space="preserve"> Владислав Валентинович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Pr="00111AF4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</w:t>
            </w:r>
            <w:proofErr w:type="spellStart"/>
            <w:r>
              <w:rPr>
                <w:rFonts w:eastAsia="Calibri"/>
                <w:lang w:eastAsia="en-US"/>
              </w:rPr>
              <w:t>Жилец-Юг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Риковський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Сергій Олексійович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«Миколаївське обласне козацьке товариство»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3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Гончаренко В’ячеслав Сергійович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«Новобузька99»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Федорович Маргарита Анатоліївна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Голова ОСББ «ЛЮМЕРА» від групи суб’єкті господарювання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Петровський Сергій Володимирович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 «Заводська РО ветеранів Афганістану (воїнів-інтернаціоналістів) і АТО </w:t>
            </w:r>
            <w:proofErr w:type="spellStart"/>
            <w:r>
              <w:rPr>
                <w:rFonts w:eastAsia="Calibri"/>
                <w:lang w:eastAsia="en-US"/>
              </w:rPr>
              <w:t>м.Миколаєва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5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Лашков</w:t>
            </w:r>
            <w:proofErr w:type="spellEnd"/>
            <w:r>
              <w:rPr>
                <w:rFonts w:eastAsia="Calibri"/>
                <w:lang w:eastAsia="en-US"/>
              </w:rPr>
              <w:t xml:space="preserve"> Анатолій Іванович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«Паркове-1»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Остапейко</w:t>
            </w:r>
            <w:proofErr w:type="spellEnd"/>
            <w:r>
              <w:rPr>
                <w:rFonts w:eastAsia="Calibri"/>
                <w:lang w:eastAsia="en-US"/>
              </w:rPr>
              <w:t xml:space="preserve"> Сергій Васильович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«НІКАСТАР 4 Ж»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37640">
        <w:trPr>
          <w:trHeight w:val="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Кутуков</w:t>
            </w:r>
            <w:proofErr w:type="spellEnd"/>
            <w:r>
              <w:rPr>
                <w:rFonts w:eastAsia="Calibri"/>
                <w:lang w:eastAsia="en-US"/>
              </w:rPr>
              <w:t xml:space="preserve">  Володимир Миколайович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«Ольвія» від групи суб’єкті господарювання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Шевчук Ірина Трифонівна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«Ресурсний центр підтримки ОСББ м. Миколаєва»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Недибалюк</w:t>
            </w:r>
            <w:proofErr w:type="spellEnd"/>
            <w:r>
              <w:rPr>
                <w:rFonts w:eastAsia="Calibri"/>
                <w:lang w:eastAsia="en-US"/>
              </w:rPr>
              <w:t xml:space="preserve"> Олеся Григорівна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«Центр соціально-економічних та політичних досліджень «</w:t>
            </w:r>
            <w:proofErr w:type="spellStart"/>
            <w:r>
              <w:rPr>
                <w:rFonts w:eastAsia="Calibri"/>
                <w:lang w:eastAsia="en-US"/>
              </w:rPr>
              <w:t>Перспектива»ГО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Смелянець</w:t>
            </w:r>
            <w:proofErr w:type="spellEnd"/>
            <w:r>
              <w:rPr>
                <w:rFonts w:eastAsia="Calibri"/>
                <w:lang w:eastAsia="en-US"/>
              </w:rPr>
              <w:t xml:space="preserve"> Ірина Василівна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 «</w:t>
            </w:r>
            <w:proofErr w:type="spellStart"/>
            <w:r>
              <w:rPr>
                <w:rFonts w:eastAsia="Calibri"/>
                <w:lang w:eastAsia="en-US"/>
              </w:rPr>
              <w:t>Миколаївкомунтранс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Зайцев Сергій Михайлович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ГО «</w:t>
            </w:r>
            <w:proofErr w:type="spellStart"/>
            <w:r>
              <w:rPr>
                <w:rFonts w:eastAsia="Calibri"/>
                <w:lang w:eastAsia="en-US"/>
              </w:rPr>
              <w:t>Миколаївськаобласна</w:t>
            </w:r>
            <w:proofErr w:type="spellEnd"/>
            <w:r>
              <w:rPr>
                <w:rFonts w:eastAsia="Calibri"/>
                <w:lang w:eastAsia="en-US"/>
              </w:rPr>
              <w:t xml:space="preserve"> федерація веслування на байдарках і каное»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Антоненко Михайло Олександрович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B1863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Голова </w:t>
            </w:r>
            <w:r w:rsidR="00137640">
              <w:rPr>
                <w:rFonts w:eastAsia="Calibri"/>
                <w:lang w:eastAsia="en-US"/>
              </w:rPr>
              <w:t>ГО «</w:t>
            </w:r>
            <w:r>
              <w:rPr>
                <w:rFonts w:eastAsia="Calibri"/>
                <w:lang w:eastAsia="en-US"/>
              </w:rPr>
              <w:t xml:space="preserve">Асоціація ОСББ </w:t>
            </w:r>
            <w:proofErr w:type="spellStart"/>
            <w:r>
              <w:rPr>
                <w:rFonts w:eastAsia="Calibri"/>
                <w:lang w:eastAsia="en-US"/>
              </w:rPr>
              <w:t>м.Миколаєва</w:t>
            </w:r>
            <w:proofErr w:type="spellEnd"/>
            <w:r w:rsidR="0013764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Домарацька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Анатоліївна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Голова ОСББ «50, </w:t>
            </w:r>
            <w:proofErr w:type="spellStart"/>
            <w:r>
              <w:rPr>
                <w:rFonts w:eastAsia="Calibri"/>
                <w:lang w:eastAsia="en-US"/>
              </w:rPr>
              <w:t>вул.Лазурна</w:t>
            </w:r>
            <w:proofErr w:type="spellEnd"/>
            <w:r>
              <w:rPr>
                <w:rFonts w:eastAsia="Calibri"/>
                <w:lang w:eastAsia="en-US"/>
              </w:rPr>
              <w:t xml:space="preserve">, 50а, </w:t>
            </w:r>
            <w:proofErr w:type="spellStart"/>
            <w:r>
              <w:rPr>
                <w:rFonts w:eastAsia="Calibri"/>
                <w:lang w:eastAsia="en-US"/>
              </w:rPr>
              <w:t>вул.Лазурна</w:t>
            </w:r>
            <w:proofErr w:type="spellEnd"/>
            <w:r>
              <w:rPr>
                <w:rFonts w:eastAsia="Calibri"/>
                <w:lang w:eastAsia="en-US"/>
              </w:rPr>
              <w:t>» від групи суб’єкті господарювання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37640" w:rsidTr="00137640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Кучеренко Микола </w:t>
            </w:r>
            <w:r w:rsidR="001B1863">
              <w:rPr>
                <w:rFonts w:eastAsia="Calibri"/>
                <w:lang w:eastAsia="en-US"/>
              </w:rPr>
              <w:t>Кузьмич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Представник ГО «Миколаївська обласна організація воїнів прикордонників»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</w:tbl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</w:rPr>
      </w:pPr>
      <w:r>
        <w:rPr>
          <w:sz w:val="26"/>
          <w:szCs w:val="26"/>
        </w:rPr>
        <w:t>До складу громадської ради за результатами рейтингового голосування не увійшли:</w:t>
      </w:r>
    </w:p>
    <w:p w:rsidR="00137640" w:rsidRDefault="00137640" w:rsidP="00137640">
      <w:pPr>
        <w:ind w:firstLine="6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295"/>
        <w:gridCol w:w="3402"/>
        <w:gridCol w:w="2126"/>
      </w:tblGrid>
      <w:tr w:rsidR="00137640" w:rsidTr="0013764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ind w:left="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FE31D5">
            <w:pPr>
              <w:spacing w:line="276" w:lineRule="auto"/>
              <w:ind w:left="42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Юлевич</w:t>
            </w:r>
            <w:proofErr w:type="spellEnd"/>
            <w:r>
              <w:rPr>
                <w:rFonts w:eastAsia="Calibri"/>
                <w:lang w:eastAsia="en-US"/>
              </w:rPr>
              <w:t xml:space="preserve"> Олександр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FE31D5">
            <w:pPr>
              <w:spacing w:line="276" w:lineRule="auto"/>
              <w:ind w:left="17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ГО «Миколаївська обласна ОРПЖКГ «Житло-Миколаїв»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ind w:left="17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bookmarkStart w:id="0" w:name="_GoBack"/>
        <w:bookmarkEnd w:id="0"/>
      </w:tr>
    </w:tbl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Щодо вирішення інших питань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1.Доручити департаменту ЖКГ ММР  </w:t>
      </w:r>
      <w:proofErr w:type="spellStart"/>
      <w:r w:rsidR="009307D9">
        <w:rPr>
          <w:sz w:val="26"/>
          <w:szCs w:val="26"/>
        </w:rPr>
        <w:t>внести</w:t>
      </w:r>
      <w:proofErr w:type="spellEnd"/>
      <w:r w:rsidR="009307D9">
        <w:rPr>
          <w:sz w:val="26"/>
          <w:szCs w:val="26"/>
        </w:rPr>
        <w:t xml:space="preserve"> зміни </w:t>
      </w:r>
      <w:r>
        <w:rPr>
          <w:sz w:val="26"/>
          <w:szCs w:val="26"/>
        </w:rPr>
        <w:t xml:space="preserve"> Положення про громадську раду та розіслати її учасникам для ознайомлення.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07D9">
        <w:rPr>
          <w:sz w:val="26"/>
          <w:szCs w:val="26"/>
        </w:rPr>
        <w:t>Продовжити організацію зв’язку</w:t>
      </w:r>
      <w:r>
        <w:rPr>
          <w:sz w:val="26"/>
          <w:szCs w:val="26"/>
        </w:rPr>
        <w:t xml:space="preserve"> в  мережі</w:t>
      </w:r>
      <w:r w:rsidRPr="009307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07D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Viber</w:t>
      </w:r>
      <w:r>
        <w:rPr>
          <w:sz w:val="26"/>
          <w:szCs w:val="26"/>
        </w:rPr>
        <w:t xml:space="preserve"> для учасників громадської ради – </w:t>
      </w:r>
      <w:r w:rsidR="009307D9">
        <w:rPr>
          <w:sz w:val="26"/>
          <w:szCs w:val="26"/>
        </w:rPr>
        <w:t>Кучеренко М</w:t>
      </w:r>
      <w:r>
        <w:rPr>
          <w:sz w:val="26"/>
          <w:szCs w:val="26"/>
        </w:rPr>
        <w:t>.</w:t>
      </w:r>
      <w:r w:rsidR="009307D9">
        <w:rPr>
          <w:sz w:val="26"/>
          <w:szCs w:val="26"/>
        </w:rPr>
        <w:t>К.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Наступне засідання громадської ради призначити на </w:t>
      </w:r>
      <w:r w:rsidR="001B1863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1B1863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1B1863">
        <w:rPr>
          <w:sz w:val="26"/>
          <w:szCs w:val="26"/>
        </w:rPr>
        <w:t>20</w:t>
      </w:r>
      <w:r>
        <w:rPr>
          <w:sz w:val="26"/>
          <w:szCs w:val="26"/>
        </w:rPr>
        <w:t xml:space="preserve"> – 1</w:t>
      </w:r>
      <w:r w:rsidR="001B1863">
        <w:rPr>
          <w:sz w:val="26"/>
          <w:szCs w:val="26"/>
        </w:rPr>
        <w:t>5</w:t>
      </w:r>
      <w:r>
        <w:rPr>
          <w:sz w:val="26"/>
          <w:szCs w:val="26"/>
        </w:rPr>
        <w:t>-00 (</w:t>
      </w:r>
      <w:r w:rsidR="00FE31D5">
        <w:rPr>
          <w:sz w:val="26"/>
          <w:szCs w:val="26"/>
        </w:rPr>
        <w:t>актовий</w:t>
      </w:r>
      <w:r>
        <w:rPr>
          <w:sz w:val="26"/>
          <w:szCs w:val="26"/>
        </w:rPr>
        <w:t xml:space="preserve"> зал </w:t>
      </w:r>
      <w:r w:rsidR="00FE31D5">
        <w:rPr>
          <w:sz w:val="26"/>
          <w:szCs w:val="26"/>
        </w:rPr>
        <w:t>департаменту ЖКГ ММР)</w:t>
      </w:r>
      <w:r>
        <w:rPr>
          <w:sz w:val="26"/>
          <w:szCs w:val="26"/>
        </w:rPr>
        <w:t>.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</w:p>
    <w:p w:rsidR="00252FDF" w:rsidRDefault="00252FDF" w:rsidP="00137640">
      <w:pPr>
        <w:ind w:firstLine="567"/>
        <w:jc w:val="both"/>
        <w:rPr>
          <w:sz w:val="26"/>
          <w:szCs w:val="26"/>
        </w:rPr>
      </w:pPr>
    </w:p>
    <w:p w:rsidR="00252FDF" w:rsidRDefault="00252FDF" w:rsidP="00137640">
      <w:pPr>
        <w:ind w:firstLine="567"/>
        <w:jc w:val="both"/>
        <w:rPr>
          <w:sz w:val="26"/>
          <w:szCs w:val="26"/>
        </w:rPr>
      </w:pPr>
    </w:p>
    <w:p w:rsidR="00252FDF" w:rsidRDefault="00252FDF" w:rsidP="00137640">
      <w:pPr>
        <w:ind w:firstLine="567"/>
        <w:jc w:val="both"/>
        <w:rPr>
          <w:sz w:val="26"/>
          <w:szCs w:val="26"/>
        </w:rPr>
      </w:pPr>
    </w:p>
    <w:p w:rsidR="009307D9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завершенні установчих зборів </w:t>
      </w:r>
      <w:r w:rsidR="00FE31D5">
        <w:rPr>
          <w:sz w:val="26"/>
          <w:szCs w:val="26"/>
        </w:rPr>
        <w:t xml:space="preserve">стосовно </w:t>
      </w:r>
      <w:r>
        <w:rPr>
          <w:sz w:val="26"/>
          <w:szCs w:val="26"/>
        </w:rPr>
        <w:t>створення громадської ради  при департаменті житлово-комунального господарства Миколаївської міської ради виступи</w:t>
      </w:r>
      <w:r w:rsidR="00FE31D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FE31D5">
        <w:rPr>
          <w:sz w:val="26"/>
          <w:szCs w:val="26"/>
        </w:rPr>
        <w:t>новобраний голова громадської ради Зайцев С.М.</w:t>
      </w:r>
      <w:r w:rsidR="009307D9">
        <w:rPr>
          <w:sz w:val="26"/>
          <w:szCs w:val="26"/>
        </w:rPr>
        <w:t>, який запропонував  новообраним членам громадської ради:</w:t>
      </w:r>
    </w:p>
    <w:p w:rsidR="00137640" w:rsidRDefault="009307D9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визначитись з напрямками роботи та розробляти конкретні програми згідно з цими напрямками;</w:t>
      </w:r>
    </w:p>
    <w:p w:rsidR="009307D9" w:rsidRDefault="009307D9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взаємодіяти з депутатським корпусом, іншими громадськими радами, приймати участь в засіданнях постійних депутатських комісіях;</w:t>
      </w:r>
    </w:p>
    <w:p w:rsidR="009307D9" w:rsidRDefault="009307D9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роботу громадської ради розміщати на сайті департаменту ЖКГ ММР та в мережі </w:t>
      </w:r>
      <w:proofErr w:type="spellStart"/>
      <w:r>
        <w:rPr>
          <w:sz w:val="26"/>
          <w:szCs w:val="26"/>
        </w:rPr>
        <w:t>Фейсбук</w:t>
      </w:r>
      <w:proofErr w:type="spellEnd"/>
      <w:r>
        <w:rPr>
          <w:sz w:val="26"/>
          <w:szCs w:val="26"/>
        </w:rPr>
        <w:t>.</w:t>
      </w:r>
    </w:p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Головуючий               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М.</w:t>
      </w:r>
      <w:r w:rsidR="009307D9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.</w:t>
      </w:r>
      <w:r w:rsidR="0063643E">
        <w:rPr>
          <w:sz w:val="26"/>
          <w:szCs w:val="26"/>
          <w:lang w:val="uk-UA"/>
        </w:rPr>
        <w:t>Федорович</w:t>
      </w:r>
      <w:proofErr w:type="spellEnd"/>
    </w:p>
    <w:p w:rsidR="00137640" w:rsidRDefault="00137640" w:rsidP="00137640">
      <w:pPr>
        <w:pStyle w:val="a3"/>
        <w:ind w:left="0"/>
        <w:jc w:val="both"/>
        <w:rPr>
          <w:sz w:val="26"/>
          <w:szCs w:val="26"/>
          <w:lang w:val="uk-UA"/>
        </w:rPr>
      </w:pPr>
    </w:p>
    <w:p w:rsidR="00B11A09" w:rsidRDefault="00137640" w:rsidP="00137640">
      <w:r>
        <w:rPr>
          <w:sz w:val="26"/>
          <w:szCs w:val="26"/>
        </w:rPr>
        <w:t>Секретар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proofErr w:type="spellStart"/>
      <w:r>
        <w:rPr>
          <w:sz w:val="26"/>
          <w:szCs w:val="26"/>
        </w:rPr>
        <w:t>І.Ф.Ка</w:t>
      </w:r>
      <w:r w:rsidR="0063643E">
        <w:rPr>
          <w:sz w:val="26"/>
          <w:szCs w:val="26"/>
        </w:rPr>
        <w:t>веріна</w:t>
      </w:r>
      <w:proofErr w:type="spellEnd"/>
    </w:p>
    <w:sectPr w:rsidR="00B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6B0"/>
    <w:multiLevelType w:val="hybridMultilevel"/>
    <w:tmpl w:val="FBC66926"/>
    <w:lvl w:ilvl="0" w:tplc="1D908B7E">
      <w:start w:val="4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40"/>
    <w:rsid w:val="00111AF4"/>
    <w:rsid w:val="00137640"/>
    <w:rsid w:val="001B1863"/>
    <w:rsid w:val="00252FDF"/>
    <w:rsid w:val="002E0C19"/>
    <w:rsid w:val="003B0D43"/>
    <w:rsid w:val="0063643E"/>
    <w:rsid w:val="009307D9"/>
    <w:rsid w:val="009D7670"/>
    <w:rsid w:val="00B11A09"/>
    <w:rsid w:val="00B64546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6405"/>
  <w15:chartTrackingRefBased/>
  <w15:docId w15:val="{AC8D4D18-DE6E-487A-A92D-1E5551A8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40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4305-4725-413C-97DE-217E2723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4</cp:revision>
  <dcterms:created xsi:type="dcterms:W3CDTF">2020-11-04T12:24:00Z</dcterms:created>
  <dcterms:modified xsi:type="dcterms:W3CDTF">2021-02-05T11:52:00Z</dcterms:modified>
</cp:coreProperties>
</file>