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E5" w:rsidRPr="000A55E5" w:rsidRDefault="00B23DF8" w:rsidP="005732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</w:t>
      </w:r>
    </w:p>
    <w:p w:rsidR="00EA138C" w:rsidRPr="00EA138C" w:rsidRDefault="00EA138C" w:rsidP="00EA138C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uk-UA"/>
        </w:rPr>
      </w:pPr>
      <w:r w:rsidRPr="00EA1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ДК 021:2015: </w:t>
      </w:r>
      <w:r w:rsidRPr="00EA138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  <w:t>(</w:t>
      </w:r>
      <w:r w:rsidRPr="00EA138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uk-UA"/>
        </w:rPr>
        <w:t>50230000-6</w:t>
      </w:r>
      <w:r w:rsidRPr="00EA138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  <w:t xml:space="preserve">) – </w:t>
      </w:r>
      <w:r w:rsidRPr="00EA138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uk-UA"/>
        </w:rPr>
        <w:t xml:space="preserve">послуги з ремонту, технічного обслуговування дорожньої інфраструктури і пов’язаного обладнання та супутні послуги </w:t>
      </w:r>
    </w:p>
    <w:p w:rsidR="00A96468" w:rsidRDefault="00EA138C" w:rsidP="00EA13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uk-UA"/>
        </w:rPr>
        <w:t>(утримання технічних засобів регулювання дорожнім рухом в м. Миколаєві)</w:t>
      </w:r>
    </w:p>
    <w:p w:rsidR="00A96468" w:rsidRDefault="00A96468" w:rsidP="00A964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A138C" w:rsidRPr="00EA138C" w:rsidRDefault="00EA138C" w:rsidP="00EA138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Код 50230000-6 «Послуги з ремонту, технічного обслуговування дорожньої інфраструктури і пов’язаного обладнання та супутні послуги</w:t>
      </w: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(утримання технічних засобів регулювання дорожнім рухом в м. Миколаєві)».</w:t>
      </w:r>
    </w:p>
    <w:p w:rsidR="00EA138C" w:rsidRPr="00EA138C" w:rsidRDefault="00EA138C" w:rsidP="00EA13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Регулярне проведення заходів щодо запобігання передчасному зносу технічних засобів регулювання дорожнім рухом, забезпечення нормальних умов її функціонування та утримання, очищення і миття, ремонт світлофорів, забезпечення функціонування магістралей в режимі автоматизованої системи керування дорожнім рухом (АСКДР), обслуговування апаратури та пристроїв центрального керуючого пульту (ЦКП), коригування денних програм роботи світлофорних об’єктів, заміна секцій світлофорів, встановлення та заміна дорожніх знаків згідно з вимогами поліції, ремонт технічних засобів регулювання дорожнім рухом,.</w:t>
      </w:r>
    </w:p>
    <w:p w:rsidR="00EA138C" w:rsidRPr="00EA138C" w:rsidRDefault="00EA138C" w:rsidP="00EA138C">
      <w:pPr>
        <w:tabs>
          <w:tab w:val="left" w:pos="-6521"/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І. Експлуатація світлофорних об`єктів – 108 об’єктів. 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1) щомісячна експлуатація світлофорних об`єктів (не рідше одного разу на місяць на кожному світлофорному об`єкті – на 2 місяці) – 216 с/о :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EA138C">
        <w:rPr>
          <w:rFonts w:ascii="Times New Roman" w:hAnsi="Times New Roman" w:cs="Times New Roman"/>
          <w:sz w:val="24"/>
          <w:szCs w:val="24"/>
          <w:lang w:val="uk-UA"/>
        </w:rPr>
        <w:t>перевірка денної видимості сигналів світлофорів на відстані 150 м з крайньої правої смуги дороги;</w:t>
      </w:r>
    </w:p>
    <w:p w:rsidR="00EA138C" w:rsidRPr="00EA138C" w:rsidRDefault="00EA138C" w:rsidP="00EA13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перевірка правильності зміни сигналів світлофорів;</w:t>
      </w:r>
    </w:p>
    <w:p w:rsidR="00EA138C" w:rsidRPr="00EA138C" w:rsidRDefault="00EA138C" w:rsidP="00EA13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перевірка циклу і фаз роботи світлофору;</w:t>
      </w:r>
    </w:p>
    <w:p w:rsidR="00EA138C" w:rsidRPr="00EA138C" w:rsidRDefault="00EA138C" w:rsidP="00EA13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зовнішній та внутрішній огляд контролера;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огляд кабельних трас;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перевірка рубильників, перемикачів, вимірювальних приладів, силових щитів;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контрольне зняття показань електролічильників щомісячно та за вимогою у присутності представників обленерго.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2) щоквартальна експлуатація світлофорних об`єктів (не рідше одного разу на квартал на кожному світлофорному об`єкті – на 2 місяці) – 70 с/о :</w:t>
      </w:r>
    </w:p>
    <w:p w:rsidR="00EA138C" w:rsidRPr="00EA138C" w:rsidRDefault="00EA138C" w:rsidP="00EA138C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перевірка, чистка та регулювання рубильника, перемикачів, силових щитів;</w:t>
      </w:r>
    </w:p>
    <w:p w:rsidR="00EA138C" w:rsidRPr="00EA138C" w:rsidRDefault="00EA138C" w:rsidP="00EA138C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- перевірка роботи контролера; </w:t>
      </w:r>
    </w:p>
    <w:p w:rsidR="00EA138C" w:rsidRPr="00EA138C" w:rsidRDefault="00EA138C" w:rsidP="00EA138C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повне технічне обслуговування контролера;</w:t>
      </w:r>
    </w:p>
    <w:p w:rsidR="00EA138C" w:rsidRPr="00EA138C" w:rsidRDefault="00EA138C" w:rsidP="00EA138C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A138C">
        <w:rPr>
          <w:rFonts w:ascii="Times New Roman" w:hAnsi="Times New Roman" w:cs="Times New Roman"/>
          <w:bCs/>
          <w:sz w:val="24"/>
          <w:szCs w:val="24"/>
          <w:lang w:val="uk-UA"/>
        </w:rPr>
        <w:t>повне технічне обслуговування встановленого обладнання (перевірка та миття транспортних та пішохідних світлофорів).</w:t>
      </w:r>
    </w:p>
    <w:p w:rsidR="00EA138C" w:rsidRPr="00EA138C" w:rsidRDefault="00EA138C" w:rsidP="00EA138C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3)</w:t>
      </w:r>
      <w:r w:rsidRPr="00EA1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заміна ламп розжарювання –200 шт.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Заміна ламп сигналів світлофорів – по номінальному терміну служби (1 лампа - 8000 г) та при перегоранні, лампи спеціальні світлофорні з підвищеним терміном служби та підвищеною вібростійкістю: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замір напруги на лампах в світлофорах (при заміні ламп);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чистка світлорозсіювачів світлофорів (при заміні ламп)</w:t>
      </w:r>
    </w:p>
    <w:p w:rsidR="00EA138C" w:rsidRPr="00EA138C" w:rsidRDefault="00EA138C" w:rsidP="00EA138C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4)  </w:t>
      </w:r>
      <w:r w:rsidRPr="00EA1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експлуатація центрального керуючого пульта автоматизованої системи керування дорожнім рухом (ЦКП АСКДР – на 2 місяці) –2 місяці:</w:t>
      </w:r>
    </w:p>
    <w:p w:rsidR="00EA138C" w:rsidRPr="00EA138C" w:rsidRDefault="00EA138C" w:rsidP="00EA138C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- технічне обслуговування апаратури та пристроїв центрального керуючого пульту </w:t>
      </w:r>
      <w:r w:rsidRPr="00EA13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РЕ2003.01 </w:t>
      </w:r>
      <w:r w:rsidRPr="00EA138C">
        <w:rPr>
          <w:rFonts w:ascii="Times New Roman" w:hAnsi="Times New Roman" w:cs="Times New Roman"/>
          <w:sz w:val="24"/>
          <w:szCs w:val="24"/>
          <w:lang w:val="uk-UA"/>
        </w:rPr>
        <w:t>згідно експлуатаційної документації обладнання, в тому числі: АФС – антено-</w:t>
      </w:r>
      <w:r w:rsidRPr="00EA13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фідерної системи, КРК ЦКП-РД – комплекту апаратури радіозв’язку РЕ2003.04; РМ- модулю радіозв’язку; РСТ – радіостанції; </w:t>
      </w:r>
    </w:p>
    <w:p w:rsidR="00EA138C" w:rsidRPr="00EA138C" w:rsidRDefault="00EA138C" w:rsidP="00EA13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технічне обслуговування базової антени;</w:t>
      </w:r>
    </w:p>
    <w:p w:rsidR="00EA138C" w:rsidRPr="00EA138C" w:rsidRDefault="00EA138C" w:rsidP="00EA138C">
      <w:pPr>
        <w:ind w:firstLine="7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Cs/>
          <w:sz w:val="24"/>
          <w:szCs w:val="24"/>
          <w:lang w:val="uk-UA"/>
        </w:rPr>
        <w:t>- щоденний контроль роботи світлофорів, які входять в АСКДР за допомогою ЦКП  РЕ2003.01;</w:t>
      </w:r>
    </w:p>
    <w:p w:rsidR="00EA138C" w:rsidRPr="00EA138C" w:rsidRDefault="00EA138C" w:rsidP="00EA138C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5) експлуатація світлофорних об’єктів в режимі АСКДР – 172 с/о  (один раз на місяць на кожному С/О – 86 світлофорних об’єктів на 2 місяці):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технічне обслуговування апаратури зв’язку та приймально-передаючих антен для УКХ радіостанції на світлофорних об’єктах, згідно експлуатаційної документації обладнання;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експлуатація УКХ радіостанцій стаціонарних.</w:t>
      </w:r>
    </w:p>
    <w:p w:rsidR="00EA138C" w:rsidRPr="00EA138C" w:rsidRDefault="00EA138C" w:rsidP="00EA13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>6</w:t>
      </w:r>
      <w:r w:rsidRPr="00EA1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) відновлення  роботи світлофорного об’єкту – 2 с/о:</w:t>
      </w:r>
    </w:p>
    <w:p w:rsidR="00EA138C" w:rsidRPr="00EA138C" w:rsidRDefault="00EA138C" w:rsidP="00EA13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при ушкодженні (в разі ДТП та інше) в термін згідно ДСТУ 3587-97: демонтаж та монтаж існуючого світлофора, демонтаж старої та монтаж нової стійки світлофорної, демонтаж пошкодженого та монтаж нового кабелю КВВГ 7 х 1 в кількості 25 м., КВВГ 19 х 1 – 100м., трос – 125м. – 8 с/о;</w:t>
      </w:r>
    </w:p>
    <w:p w:rsidR="00EA138C" w:rsidRPr="00EA138C" w:rsidRDefault="00EA138C" w:rsidP="00EA138C">
      <w:pPr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>7</w:t>
      </w: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Заміна секцій  світлофорів –20 шт. </w:t>
      </w:r>
    </w:p>
    <w:p w:rsidR="00EA138C" w:rsidRPr="00EA138C" w:rsidRDefault="00EA138C" w:rsidP="00EA1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- </w:t>
      </w: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Модуль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світлодіодний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 в корпусі секції  світлофору діаметром 200 мм;</w:t>
      </w:r>
    </w:p>
    <w:p w:rsidR="00EA138C" w:rsidRPr="00EA138C" w:rsidRDefault="00EA138C" w:rsidP="00EA1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>- гарантійний термін служби не менше 5-ти років;</w:t>
      </w:r>
    </w:p>
    <w:p w:rsidR="00EA138C" w:rsidRPr="00EA138C" w:rsidRDefault="00EA138C" w:rsidP="00EA1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>- термін служби не менше 10-ти років;</w:t>
      </w:r>
    </w:p>
    <w:p w:rsidR="00EA138C" w:rsidRPr="00EA138C" w:rsidRDefault="00EA138C" w:rsidP="00EA1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>- призначені для заміни тих, що вийшли з ладу;</w:t>
      </w:r>
    </w:p>
    <w:p w:rsidR="00EA138C" w:rsidRPr="00EA138C" w:rsidRDefault="00EA138C" w:rsidP="00EA1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>- повинні відповідати вимогам ДСТУ 4092-2002;</w:t>
      </w:r>
    </w:p>
    <w:p w:rsidR="00EA138C" w:rsidRPr="00EA138C" w:rsidRDefault="00EA138C" w:rsidP="00EA1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світловипромінюючі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 елементи -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над’яскраві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світо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 діоди.</w:t>
      </w:r>
    </w:p>
    <w:p w:rsidR="00EA138C" w:rsidRPr="00EA138C" w:rsidRDefault="00EA138C" w:rsidP="00EA138C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8) Чергова служба у вихідні та святкові дні, для усунення аварійних ситуацій -  20</w:t>
      </w:r>
      <w:r w:rsidRPr="00EA138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днів.</w:t>
      </w:r>
    </w:p>
    <w:p w:rsidR="00EA138C" w:rsidRPr="00EA138C" w:rsidRDefault="00EA138C" w:rsidP="00EA13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>- чергова служба у вихідні та святкові дні у складі електромонтера та водія автовишки для негайного усунення  аварійно-небезпечних ситуацій, пов’язаних з експлуатацією технічних засобів регулювання дорожнього руху.</w:t>
      </w:r>
    </w:p>
    <w:p w:rsidR="00EA138C" w:rsidRPr="00EA138C" w:rsidRDefault="00EA138C" w:rsidP="00EA138C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робітники чергової служби повинні бути забезпечені опалювальним приміщенням, телефонним зв’язком, </w:t>
      </w:r>
      <w:r w:rsidRPr="00EA138C">
        <w:rPr>
          <w:rFonts w:ascii="Times New Roman" w:hAnsi="Times New Roman" w:cs="Times New Roman"/>
          <w:sz w:val="24"/>
          <w:szCs w:val="24"/>
          <w:lang w:val="uk-UA" w:eastAsia="uk-UA"/>
        </w:rPr>
        <w:t>необхідними для роботи засобами, проінструктовані по ОП, виробничій  санітарії, гігієні праці і протипожежній охороні.</w:t>
      </w:r>
    </w:p>
    <w:p w:rsidR="00EA138C" w:rsidRPr="00EA138C" w:rsidRDefault="00EA138C" w:rsidP="00EA138C">
      <w:pPr>
        <w:ind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138C">
        <w:rPr>
          <w:rFonts w:ascii="Times New Roman" w:hAnsi="Times New Roman" w:cs="Times New Roman"/>
          <w:b/>
          <w:sz w:val="24"/>
          <w:szCs w:val="24"/>
          <w:lang w:val="uk-UA" w:eastAsia="uk-UA"/>
        </w:rPr>
        <w:t>9)</w:t>
      </w:r>
      <w:r w:rsidRPr="00EA13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Сплата електроенергії, що використовується світлофорними об`єктами (108 с/о)  – 26,6 тис. кВт</w:t>
      </w:r>
      <w:r w:rsidRPr="00EA13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138C" w:rsidRPr="00EA138C" w:rsidRDefault="00EA138C" w:rsidP="00EA13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II. Встановлення, заміна, відновлення та експлуатація дорожніх знаків.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 встановлення, заміна та відновлення дорожніх знаків – 218 шт. Знаки ІІ типорозміру з оцинкованої сталі, плівка з </w:t>
      </w:r>
      <w:proofErr w:type="spellStart"/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світловідбиваючою</w:t>
      </w:r>
      <w:proofErr w:type="spellEnd"/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поверхнею. Стійки з труби сталевої. Знаки, стійки та кронштейни  повинні відповідати вимогам ДСТУ 4100-2014. </w:t>
      </w:r>
    </w:p>
    <w:p w:rsidR="00EA138C" w:rsidRPr="00EA138C" w:rsidRDefault="00EA138C" w:rsidP="00EA13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У тому числі по видам робіт: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Встановлення та відновлення дорожнього знаку на існуючому кріпленні – 60 шт.;</w:t>
      </w:r>
    </w:p>
    <w:p w:rsidR="00EA138C" w:rsidRPr="00EA138C" w:rsidRDefault="00EA138C" w:rsidP="00EA138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Заміна дорожнього знаку на існуючому кріпленні – 23 шт.;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Встановлення та відновлення дорожнього знаку зі стійкою висотою в залежності від розміру та кількості знаків - 50 шт.;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Заміна дорожнього знаку зі стійкою висотою в залежності від розміру та кількості знаків – 5 шт.;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Встановлення та відновлення дорожнього знаку з кронштейном  - 60 шт.;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lastRenderedPageBreak/>
        <w:t>- Заміна дорожнього знаку з кронштейном  - 20 шт.;</w:t>
      </w:r>
    </w:p>
    <w:p w:rsidR="00EA138C" w:rsidRPr="00EA138C" w:rsidRDefault="00EA138C" w:rsidP="00EA138C">
      <w:pPr>
        <w:ind w:left="14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Види знаків та кріплень: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686"/>
        <w:gridCol w:w="1076"/>
      </w:tblGrid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1050х700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A138C" w:rsidRPr="00EA138C" w:rsidTr="00EA138C">
        <w:trPr>
          <w:trHeight w:val="2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900х600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900х900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700х700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круг на 700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8-микутник на 700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1050х350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700х350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ДЗ розміром сторони трикутника на 900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стійка СКМ- 3,2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стійка СКМ- 4,0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стійка СКМ- 4,85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кронштейн по центру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кронштейн з виносом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кронштейн на розтяжку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EA138C" w:rsidRPr="00EA138C" w:rsidTr="00EA13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напівхомут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</w:tbl>
    <w:p w:rsidR="00EA138C" w:rsidRPr="00EA138C" w:rsidRDefault="00EA138C" w:rsidP="00EA138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138C" w:rsidRPr="00EA138C" w:rsidRDefault="00EA138C" w:rsidP="00EA138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2)  експлуатація дорожніх знаків – 90 шт.</w:t>
      </w:r>
    </w:p>
    <w:p w:rsidR="00EA138C" w:rsidRPr="00EA138C" w:rsidRDefault="00EA138C" w:rsidP="00EA138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Перелік робіт при експлуатації дорожніх знаків:</w:t>
      </w:r>
    </w:p>
    <w:p w:rsidR="00EA138C" w:rsidRPr="00EA138C" w:rsidRDefault="00EA138C" w:rsidP="00EA138C">
      <w:pPr>
        <w:numPr>
          <w:ilvl w:val="0"/>
          <w:numId w:val="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фарбування кріплень, стійок – 50 шт.</w:t>
      </w:r>
      <w:r w:rsidRPr="00EA138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A138C">
        <w:rPr>
          <w:rFonts w:ascii="Times New Roman" w:hAnsi="Times New Roman" w:cs="Times New Roman"/>
          <w:sz w:val="24"/>
          <w:szCs w:val="24"/>
          <w:lang w:val="uk-UA"/>
        </w:rPr>
        <w:t>(17 м2);</w:t>
      </w:r>
    </w:p>
    <w:p w:rsidR="00EA138C" w:rsidRPr="00EA138C" w:rsidRDefault="00EA138C" w:rsidP="00EA138C">
      <w:pPr>
        <w:numPr>
          <w:ilvl w:val="0"/>
          <w:numId w:val="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поправка дорожнього знака та кріплення – при ушкодженні - 40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138C" w:rsidRPr="00EA138C" w:rsidRDefault="00EA138C" w:rsidP="00EA13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III. Встановлення, заміна, відновлення  та експлуатація направляючих пішохідних огороджень, згідно з ДСТУ 2735-94: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 встановлення, заміна та відновлення направляючих пішохідних огороджень – 100 </w:t>
      </w:r>
      <w:proofErr w:type="spellStart"/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п.м</w:t>
      </w:r>
      <w:proofErr w:type="spellEnd"/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згідно з ДСТУ 2735-94, у тому числі: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- встановлення та відновлення направляючих пішохідних огороджень, з виготовленням нових –  50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п.м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138C" w:rsidRPr="00EA138C" w:rsidRDefault="00EA138C" w:rsidP="00EA13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- заміна направляючих пішохідних огороджень, з виготовленням нових –  50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п.м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138C" w:rsidRPr="00EA138C" w:rsidRDefault="00EA138C" w:rsidP="00EA138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Направляючі пішохідні огородження типового проекту 320-55 «Малі архітектурні форми і елементи благоустрою вулиць, доріг та площ» (ескіз додається).</w:t>
      </w:r>
    </w:p>
    <w:p w:rsidR="00EA138C" w:rsidRPr="00EA138C" w:rsidRDefault="00EA138C" w:rsidP="00EA138C">
      <w:pPr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експлуатація направляючих пішохідних огороджень – 65 </w:t>
      </w:r>
      <w:proofErr w:type="spellStart"/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п.м</w:t>
      </w:r>
      <w:proofErr w:type="spellEnd"/>
      <w:r w:rsidRPr="00EA138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EA138C" w:rsidRPr="00EA138C" w:rsidRDefault="00EA138C" w:rsidP="00EA138C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у тому числі:</w:t>
      </w:r>
    </w:p>
    <w:p w:rsidR="00EA138C" w:rsidRPr="00EA138C" w:rsidRDefault="00EA138C" w:rsidP="00EA138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ремонт із застосуванням електрозварювання – 40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п.м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138C" w:rsidRPr="00EA138C" w:rsidRDefault="00EA138C" w:rsidP="00EA138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 xml:space="preserve">ремонт без застосування електрозварювання – 25 </w:t>
      </w:r>
      <w:proofErr w:type="spellStart"/>
      <w:r w:rsidRPr="00EA138C">
        <w:rPr>
          <w:rFonts w:ascii="Times New Roman" w:hAnsi="Times New Roman" w:cs="Times New Roman"/>
          <w:sz w:val="24"/>
          <w:szCs w:val="24"/>
          <w:lang w:val="uk-UA"/>
        </w:rPr>
        <w:t>п.м</w:t>
      </w:r>
      <w:proofErr w:type="spellEnd"/>
      <w:r w:rsidRPr="00EA13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138C" w:rsidRPr="00EA138C" w:rsidRDefault="00EA138C" w:rsidP="00EA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</w:pPr>
      <w:r w:rsidRPr="00EA13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 xml:space="preserve">IV.  Розробка схем розташування технічних засобів регулювання </w:t>
      </w:r>
    </w:p>
    <w:p w:rsidR="00EA138C" w:rsidRPr="00EA138C" w:rsidRDefault="00EA138C" w:rsidP="00EA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</w:pPr>
      <w:r w:rsidRPr="00EA13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 xml:space="preserve">дорожнім рухом (дорожні знаки, інформаційні табло, дорожня розмітка, </w:t>
      </w:r>
    </w:p>
    <w:p w:rsidR="00EA138C" w:rsidRPr="00EA138C" w:rsidRDefault="00EA138C" w:rsidP="00EA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</w:pPr>
      <w:r w:rsidRPr="00EA13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 xml:space="preserve">направляючі пішохідні огородження, пристрої примусового зниження швидкості) –20 </w:t>
      </w:r>
      <w:proofErr w:type="spellStart"/>
      <w:r w:rsidRPr="00EA13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шт</w:t>
      </w:r>
      <w:proofErr w:type="spellEnd"/>
      <w:r w:rsidRPr="00EA13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:</w:t>
      </w:r>
    </w:p>
    <w:p w:rsidR="00EA138C" w:rsidRPr="00EA138C" w:rsidRDefault="00EA138C" w:rsidP="00EA138C">
      <w:pPr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розробка схеми розташування технічних засобів регулювання дорожнім рухом;</w:t>
      </w:r>
    </w:p>
    <w:p w:rsidR="00EA138C" w:rsidRPr="00EA138C" w:rsidRDefault="00EA138C" w:rsidP="00EA138C">
      <w:pPr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38C">
        <w:rPr>
          <w:rFonts w:ascii="Times New Roman" w:hAnsi="Times New Roman" w:cs="Times New Roman"/>
          <w:sz w:val="24"/>
          <w:szCs w:val="24"/>
          <w:lang w:val="uk-UA"/>
        </w:rPr>
        <w:t>- узгодження схеми з працівниками національної поліції.</w:t>
      </w:r>
    </w:p>
    <w:p w:rsidR="00EA138C" w:rsidRPr="00EA138C" w:rsidRDefault="00EA138C" w:rsidP="00EA138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val="uk-UA" w:eastAsia="en-US"/>
        </w:rPr>
      </w:pPr>
      <w:r w:rsidRPr="00EA138C">
        <w:rPr>
          <w:rFonts w:ascii="Times New Roman" w:eastAsia="Calibri" w:hAnsi="Times New Roman" w:cs="Times New Roman"/>
          <w:color w:val="auto"/>
          <w:sz w:val="18"/>
          <w:szCs w:val="18"/>
          <w:lang w:val="uk-UA" w:eastAsia="en-US"/>
        </w:rPr>
        <w:t>Специфікація елементів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306"/>
        <w:gridCol w:w="752"/>
        <w:gridCol w:w="1212"/>
        <w:gridCol w:w="1207"/>
      </w:tblGrid>
      <w:tr w:rsidR="00EA138C" w:rsidRPr="00EA138C" w:rsidTr="00EA138C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Марка поз.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Позначення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A138C">
              <w:rPr>
                <w:rFonts w:ascii="Times New Roman" w:hAnsi="Times New Roman" w:cs="Times New Roman"/>
                <w:lang w:val="uk-UA"/>
              </w:rPr>
              <w:t>Кіль-ть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Маса на  одиницю, кг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 xml:space="preserve">Маса на </w:t>
            </w:r>
            <w:proofErr w:type="spellStart"/>
            <w:r w:rsidRPr="00EA138C">
              <w:rPr>
                <w:rFonts w:ascii="Times New Roman" w:hAnsi="Times New Roman" w:cs="Times New Roman"/>
                <w:lang w:val="uk-UA"/>
              </w:rPr>
              <w:t>об’</w:t>
            </w:r>
            <w:proofErr w:type="spellEnd"/>
            <w:r w:rsidRPr="00EA138C">
              <w:rPr>
                <w:rFonts w:ascii="Times New Roman" w:hAnsi="Times New Roman" w:cs="Times New Roman"/>
              </w:rPr>
              <w:t>є</w:t>
            </w:r>
            <w:r w:rsidRPr="00EA138C">
              <w:rPr>
                <w:rFonts w:ascii="Times New Roman" w:hAnsi="Times New Roman" w:cs="Times New Roman"/>
                <w:lang w:val="uk-UA"/>
              </w:rPr>
              <w:t xml:space="preserve">м,   кг 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 xml:space="preserve">Стійка до перильного огородження – </w:t>
            </w:r>
            <w:r w:rsidRPr="00EA138C">
              <w:rPr>
                <w:rFonts w:ascii="Times New Roman" w:hAnsi="Times New Roman" w:cs="Times New Roman"/>
                <w:lang w:val="uk-UA"/>
              </w:rPr>
              <w:lastRenderedPageBreak/>
              <w:t>стійка ПО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40х40х3, L= 1500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5,156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5,156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103-76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Лист сталевий 3, S=140х</w:t>
            </w:r>
            <w:r w:rsidRPr="00EA138C">
              <w:rPr>
                <w:rFonts w:ascii="Times New Roman" w:hAnsi="Times New Roman" w:cs="Times New Roman"/>
              </w:rPr>
              <w:t>4</w:t>
            </w:r>
            <w:r w:rsidRPr="00EA138C">
              <w:rPr>
                <w:rFonts w:ascii="Times New Roman" w:hAnsi="Times New Roman" w:cs="Times New Roman"/>
                <w:lang w:val="uk-UA"/>
              </w:rPr>
              <w:t>0=0,0056 м2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0,140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0,280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103-76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Лист сталевий 3, S=50х50=0,0025 м2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0,062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0,062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2251-93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Сталь кутова 35х35х3, L= 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0,177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0,177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EA138C">
              <w:rPr>
                <w:rFonts w:ascii="Times New Roman" w:hAnsi="Times New Roman" w:cs="Times New Roman"/>
                <w:b/>
                <w:lang w:val="uk-UA"/>
              </w:rPr>
              <w:t>Разом: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A138C">
              <w:rPr>
                <w:rFonts w:ascii="Times New Roman" w:hAnsi="Times New Roman" w:cs="Times New Roman"/>
                <w:b/>
                <w:lang w:val="uk-UA"/>
              </w:rPr>
              <w:t>5,675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Перильне огородження ПО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40х20х2, L= 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3,713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7,426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40х20х2, L= 760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1,411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2,822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20х20х2, L= 1960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2,319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2,319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20х20х2, L= 1160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1,373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2,746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20х20х2, L= 580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0,686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2,744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20х20х2, L= 640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0,757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0,757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ДСТУ 8645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Труба профільна 20х20х2, L= 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0,118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38C">
              <w:rPr>
                <w:rFonts w:ascii="Times New Roman" w:hAnsi="Times New Roman" w:cs="Times New Roman"/>
                <w:lang w:val="uk-UA"/>
              </w:rPr>
              <w:t>0,118</w:t>
            </w:r>
          </w:p>
        </w:tc>
      </w:tr>
      <w:tr w:rsidR="00EA138C" w:rsidRPr="00EA138C" w:rsidTr="00EA1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EA138C">
              <w:rPr>
                <w:rFonts w:ascii="Times New Roman" w:hAnsi="Times New Roman" w:cs="Times New Roman"/>
                <w:b/>
                <w:lang w:val="uk-UA"/>
              </w:rPr>
              <w:t>Разом: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C" w:rsidRPr="00EA138C" w:rsidRDefault="00EA138C" w:rsidP="00EA13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A138C">
              <w:rPr>
                <w:rFonts w:ascii="Times New Roman" w:hAnsi="Times New Roman" w:cs="Times New Roman"/>
                <w:b/>
                <w:lang w:val="uk-UA"/>
              </w:rPr>
              <w:t>18,932</w:t>
            </w:r>
          </w:p>
        </w:tc>
      </w:tr>
    </w:tbl>
    <w:p w:rsidR="00EA138C" w:rsidRPr="00EA138C" w:rsidRDefault="00EA138C" w:rsidP="00EA138C">
      <w:pPr>
        <w:ind w:left="360"/>
        <w:contextualSpacing/>
        <w:jc w:val="center"/>
        <w:rPr>
          <w:rFonts w:ascii="Times New Roman" w:eastAsia="Calibri" w:hAnsi="Times New Roman" w:cs="Times New Roman"/>
          <w:lang w:val="uk-UA"/>
        </w:rPr>
      </w:pPr>
    </w:p>
    <w:p w:rsidR="00EA138C" w:rsidRPr="00EA138C" w:rsidRDefault="00EA138C" w:rsidP="00EA138C">
      <w:pPr>
        <w:ind w:left="360"/>
        <w:contextualSpacing/>
        <w:jc w:val="center"/>
        <w:rPr>
          <w:rFonts w:ascii="Times New Roman" w:eastAsia="Calibri" w:hAnsi="Times New Roman" w:cs="Times New Roman"/>
          <w:lang w:val="uk-UA"/>
        </w:rPr>
      </w:pPr>
    </w:p>
    <w:p w:rsidR="00EA138C" w:rsidRPr="00EA138C" w:rsidRDefault="00EA138C" w:rsidP="00EA138C">
      <w:pPr>
        <w:ind w:left="360"/>
        <w:contextualSpacing/>
        <w:jc w:val="center"/>
        <w:rPr>
          <w:rFonts w:ascii="Times New Roman" w:eastAsia="Calibri" w:hAnsi="Times New Roman" w:cs="Times New Roman"/>
          <w:lang w:val="uk-UA"/>
        </w:rPr>
      </w:pPr>
    </w:p>
    <w:p w:rsidR="00EA138C" w:rsidRPr="00EA138C" w:rsidRDefault="00EA138C" w:rsidP="00EA138C">
      <w:pPr>
        <w:ind w:left="360"/>
        <w:contextualSpacing/>
        <w:jc w:val="center"/>
        <w:rPr>
          <w:rFonts w:ascii="Times New Roman" w:eastAsia="Calibri" w:hAnsi="Times New Roman" w:cs="Times New Roman"/>
          <w:lang w:val="uk-UA"/>
        </w:rPr>
      </w:pPr>
    </w:p>
    <w:p w:rsidR="00EA138C" w:rsidRPr="00EA138C" w:rsidRDefault="00EA138C" w:rsidP="00EA138C">
      <w:pPr>
        <w:ind w:left="360"/>
        <w:contextualSpacing/>
        <w:jc w:val="center"/>
        <w:rPr>
          <w:rFonts w:ascii="Times New Roman" w:eastAsia="Calibri" w:hAnsi="Times New Roman" w:cs="Times New Roman"/>
          <w:lang w:val="uk-UA"/>
        </w:rPr>
      </w:pPr>
    </w:p>
    <w:p w:rsidR="00EA138C" w:rsidRPr="00EA138C" w:rsidRDefault="00EA138C" w:rsidP="00EA138C">
      <w:pPr>
        <w:ind w:left="360"/>
        <w:contextualSpacing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Calibri" w:eastAsia="Calibri" w:hAnsi="Calibri" w:cs="Times New Roman"/>
          <w:noProof/>
          <w:color w:val="auto"/>
        </w:rPr>
        <w:drawing>
          <wp:inline distT="0" distB="0" distL="0" distR="0">
            <wp:extent cx="5939790" cy="4198620"/>
            <wp:effectExtent l="0" t="0" r="3810" b="0"/>
            <wp:docPr id="1" name="Рисунок 1" descr="Описание: НПО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ПО 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8C" w:rsidRPr="00EA138C" w:rsidRDefault="00EA138C" w:rsidP="00EA13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138C" w:rsidRPr="00EA138C" w:rsidRDefault="00EA138C" w:rsidP="00EA13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138C" w:rsidRPr="00EA138C" w:rsidRDefault="00EA138C" w:rsidP="00EA13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96468" w:rsidRPr="00A96468" w:rsidRDefault="00A96468" w:rsidP="00A964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39"/>
        <w:tblW w:w="568" w:type="dxa"/>
        <w:tblLook w:val="04A0" w:firstRow="1" w:lastRow="0" w:firstColumn="1" w:lastColumn="0" w:noHBand="0" w:noVBand="1"/>
      </w:tblPr>
      <w:tblGrid>
        <w:gridCol w:w="568"/>
      </w:tblGrid>
      <w:tr w:rsidR="00EA138C" w:rsidRPr="00A96468" w:rsidTr="00EA138C">
        <w:trPr>
          <w:trHeight w:val="7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7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18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15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7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8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7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10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A138C" w:rsidRPr="00A96468" w:rsidTr="00EA138C">
        <w:trPr>
          <w:trHeight w:val="7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38C" w:rsidRPr="00A96468" w:rsidRDefault="00EA138C" w:rsidP="00A96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60A27" w:rsidRDefault="00660A27" w:rsidP="0066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A27" w:rsidRDefault="00660A27" w:rsidP="00B23DF8">
      <w:pPr>
        <w:jc w:val="both"/>
        <w:rPr>
          <w:rFonts w:ascii="Times New Roman" w:hAnsi="Times New Roman" w:cs="Times New Roman"/>
          <w:b/>
          <w:lang w:val="uk-UA"/>
        </w:rPr>
      </w:pPr>
    </w:p>
    <w:p w:rsidR="00660A27" w:rsidRDefault="00660A27" w:rsidP="00B23DF8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Розрахунок очікуваної вартос</w:t>
      </w: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>ті проводився на підставі фактичних витрат</w:t>
      </w:r>
      <w:r w:rsidR="00A96468">
        <w:rPr>
          <w:rFonts w:ascii="Times New Roman" w:hAnsi="Times New Roman" w:cs="Times New Roman"/>
          <w:b/>
          <w:lang w:val="uk-UA"/>
        </w:rPr>
        <w:t xml:space="preserve"> на аналогічні послуги за 2020 р</w:t>
      </w:r>
      <w:r w:rsidR="00EA138C">
        <w:rPr>
          <w:rFonts w:ascii="Times New Roman" w:hAnsi="Times New Roman" w:cs="Times New Roman"/>
          <w:b/>
          <w:lang w:val="uk-UA"/>
        </w:rPr>
        <w:t>ік</w:t>
      </w:r>
      <w:r w:rsidR="00B10C0D">
        <w:rPr>
          <w:rFonts w:ascii="Times New Roman" w:hAnsi="Times New Roman" w:cs="Times New Roman"/>
          <w:b/>
          <w:lang w:val="uk-UA"/>
        </w:rPr>
        <w:t xml:space="preserve">, </w:t>
      </w:r>
      <w:r>
        <w:rPr>
          <w:rFonts w:ascii="Times New Roman" w:hAnsi="Times New Roman" w:cs="Times New Roman"/>
          <w:b/>
          <w:lang w:val="uk-UA"/>
        </w:rPr>
        <w:t xml:space="preserve"> з урахуванням збільшення мінімальної заробітної плати</w:t>
      </w:r>
      <w:r w:rsidR="005732BB">
        <w:rPr>
          <w:rFonts w:ascii="Times New Roman" w:hAnsi="Times New Roman" w:cs="Times New Roman"/>
          <w:b/>
          <w:lang w:val="uk-UA"/>
        </w:rPr>
        <w:t>, вартості всіх матеріально-технічних ресурсів, необхідних для виконання технічного завдання</w:t>
      </w:r>
      <w:r w:rsidR="000A55E5">
        <w:rPr>
          <w:rFonts w:ascii="Times New Roman" w:hAnsi="Times New Roman" w:cs="Times New Roman"/>
          <w:b/>
          <w:lang w:val="uk-UA"/>
        </w:rPr>
        <w:t xml:space="preserve"> та примірних строків надання послуг</w:t>
      </w:r>
      <w:r>
        <w:rPr>
          <w:rFonts w:ascii="Times New Roman" w:hAnsi="Times New Roman" w:cs="Times New Roman"/>
          <w:b/>
          <w:lang w:val="uk-UA"/>
        </w:rPr>
        <w:t xml:space="preserve">.   </w:t>
      </w:r>
    </w:p>
    <w:p w:rsidR="000A55E5" w:rsidRDefault="000A55E5" w:rsidP="00B23DF8">
      <w:pPr>
        <w:jc w:val="both"/>
        <w:rPr>
          <w:rFonts w:ascii="Times New Roman" w:hAnsi="Times New Roman" w:cs="Times New Roman"/>
          <w:b/>
          <w:lang w:val="uk-UA"/>
        </w:rPr>
      </w:pPr>
    </w:p>
    <w:p w:rsidR="000A55E5" w:rsidRDefault="000A55E5" w:rsidP="00B23DF8">
      <w:pPr>
        <w:jc w:val="both"/>
        <w:rPr>
          <w:rFonts w:ascii="Times New Roman" w:hAnsi="Times New Roman" w:cs="Times New Roman"/>
          <w:b/>
          <w:lang w:val="uk-UA"/>
        </w:rPr>
      </w:pPr>
    </w:p>
    <w:sectPr w:rsidR="000A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016"/>
    <w:multiLevelType w:val="hybridMultilevel"/>
    <w:tmpl w:val="0786F234"/>
    <w:lvl w:ilvl="0" w:tplc="D4CA02D6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FE01B6E"/>
    <w:multiLevelType w:val="hybridMultilevel"/>
    <w:tmpl w:val="8724F516"/>
    <w:lvl w:ilvl="0" w:tplc="5D02A460">
      <w:start w:val="1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0A55E5"/>
    <w:rsid w:val="0010120B"/>
    <w:rsid w:val="002515D3"/>
    <w:rsid w:val="005732BB"/>
    <w:rsid w:val="0058139E"/>
    <w:rsid w:val="00660A27"/>
    <w:rsid w:val="0074561B"/>
    <w:rsid w:val="00994C8D"/>
    <w:rsid w:val="00A47A05"/>
    <w:rsid w:val="00A96468"/>
    <w:rsid w:val="00B10C0D"/>
    <w:rsid w:val="00B23DF8"/>
    <w:rsid w:val="00BB322F"/>
    <w:rsid w:val="00C409FD"/>
    <w:rsid w:val="00C954E0"/>
    <w:rsid w:val="00E44690"/>
    <w:rsid w:val="00E85D45"/>
    <w:rsid w:val="00E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8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8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Sapozhnik</cp:lastModifiedBy>
  <cp:revision>2</cp:revision>
  <dcterms:created xsi:type="dcterms:W3CDTF">2021-02-23T12:39:00Z</dcterms:created>
  <dcterms:modified xsi:type="dcterms:W3CDTF">2021-02-23T12:39:00Z</dcterms:modified>
</cp:coreProperties>
</file>