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A831E0" w:rsidP="00A831E0">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Замовник</w:t>
      </w:r>
      <w:r w:rsidR="00015098" w:rsidRPr="00015098">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A3261C" w:rsidRPr="00A3261C" w:rsidRDefault="00A831E0" w:rsidP="00A3261C">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4.</w:t>
      </w:r>
      <w:r>
        <w:rPr>
          <w:rFonts w:ascii="Times New Roman" w:eastAsia="Calibri" w:hAnsi="Times New Roman" w:cs="Times New Roman"/>
          <w:b/>
          <w:sz w:val="24"/>
          <w:szCs w:val="24"/>
          <w:lang w:val="uk-UA"/>
        </w:rPr>
        <w:t xml:space="preserve"> </w:t>
      </w:r>
      <w:r w:rsidR="00015098" w:rsidRPr="00A3261C">
        <w:rPr>
          <w:rFonts w:ascii="Times New Roman" w:eastAsia="Calibri" w:hAnsi="Times New Roman" w:cs="Times New Roman"/>
          <w:b/>
          <w:sz w:val="24"/>
          <w:szCs w:val="24"/>
          <w:lang w:val="uk-UA"/>
        </w:rPr>
        <w:t xml:space="preserve">Предмет закупівлі: </w:t>
      </w:r>
      <w:r w:rsidR="00A3261C" w:rsidRPr="00A3261C">
        <w:rPr>
          <w:rFonts w:ascii="Times New Roman" w:hAnsi="Times New Roman" w:cs="Times New Roman"/>
          <w:sz w:val="24"/>
          <w:szCs w:val="24"/>
          <w:lang w:val="uk-UA"/>
        </w:rPr>
        <w:t xml:space="preserve">Виготовлення </w:t>
      </w:r>
      <w:proofErr w:type="spellStart"/>
      <w:r w:rsidR="00A3261C" w:rsidRPr="00A3261C">
        <w:rPr>
          <w:rFonts w:ascii="Times New Roman" w:hAnsi="Times New Roman" w:cs="Times New Roman"/>
          <w:sz w:val="24"/>
          <w:szCs w:val="24"/>
          <w:lang w:val="uk-UA"/>
        </w:rPr>
        <w:t>проєктно-кошторисної</w:t>
      </w:r>
      <w:proofErr w:type="spellEnd"/>
      <w:r w:rsidR="00A3261C" w:rsidRPr="00A3261C">
        <w:rPr>
          <w:rFonts w:ascii="Times New Roman" w:hAnsi="Times New Roman" w:cs="Times New Roman"/>
          <w:sz w:val="24"/>
          <w:szCs w:val="24"/>
          <w:lang w:val="uk-UA"/>
        </w:rPr>
        <w:t xml:space="preserve"> документації по об’єкту «Капітальний ремонт мережі зливової каналізації по вул. Лазурна в м. Миколаєві» </w:t>
      </w:r>
      <w:r w:rsidR="001850CF">
        <w:rPr>
          <w:rFonts w:ascii="Times New Roman" w:hAnsi="Times New Roman" w:cs="Times New Roman"/>
          <w:sz w:val="24"/>
          <w:szCs w:val="24"/>
          <w:lang w:val="uk-UA"/>
        </w:rPr>
        <w:t xml:space="preserve">                     </w:t>
      </w:r>
      <w:r w:rsidR="00A3261C" w:rsidRPr="00A3261C">
        <w:rPr>
          <w:rFonts w:ascii="Times New Roman" w:hAnsi="Times New Roman" w:cs="Times New Roman"/>
          <w:sz w:val="24"/>
          <w:szCs w:val="24"/>
          <w:lang w:val="uk-UA"/>
        </w:rPr>
        <w:t xml:space="preserve"> </w:t>
      </w:r>
      <w:r w:rsidR="00A3261C" w:rsidRPr="00A3261C">
        <w:rPr>
          <w:rFonts w:ascii="Times New Roman" w:hAnsi="Times New Roman" w:cs="Times New Roman"/>
          <w:bCs/>
          <w:sz w:val="24"/>
          <w:szCs w:val="24"/>
          <w:lang w:val="uk-UA"/>
        </w:rPr>
        <w:t>(ДК 021:2015: (71320000-7) – Послуги з інженерного проектування</w:t>
      </w:r>
      <w:r w:rsidR="00A3261C" w:rsidRPr="00A3261C">
        <w:rPr>
          <w:rFonts w:ascii="Times New Roman" w:hAnsi="Times New Roman" w:cs="Times New Roman"/>
          <w:sz w:val="24"/>
          <w:szCs w:val="24"/>
          <w:lang w:val="uk-UA"/>
        </w:rPr>
        <w:t>)</w:t>
      </w:r>
      <w:r w:rsidR="00A3261C" w:rsidRPr="00A3261C">
        <w:rPr>
          <w:rFonts w:ascii="Times New Roman" w:hAnsi="Times New Roman" w:cs="Times New Roman"/>
          <w:bCs/>
          <w:sz w:val="24"/>
          <w:szCs w:val="24"/>
          <w:lang w:val="uk-UA"/>
        </w:rPr>
        <w:t>.</w:t>
      </w:r>
    </w:p>
    <w:p w:rsidR="00015098" w:rsidRDefault="00A831E0" w:rsidP="00A831E0">
      <w:pPr>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5.</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w:t>
      </w:r>
      <w:r w:rsidR="00A3261C">
        <w:rPr>
          <w:rFonts w:ascii="Times New Roman" w:eastAsia="Calibri" w:hAnsi="Times New Roman" w:cs="Times New Roman"/>
          <w:sz w:val="24"/>
          <w:szCs w:val="24"/>
          <w:lang w:val="uk-UA"/>
        </w:rPr>
        <w:t>робота</w:t>
      </w:r>
      <w:r w:rsidR="00203F41">
        <w:rPr>
          <w:rFonts w:ascii="Times New Roman" w:eastAsia="Calibri" w:hAnsi="Times New Roman" w:cs="Times New Roman"/>
          <w:sz w:val="24"/>
          <w:szCs w:val="24"/>
          <w:lang w:val="uk-UA"/>
        </w:rPr>
        <w:t xml:space="preserve"> та відповідно до </w:t>
      </w:r>
      <w:r w:rsidR="00A3261C">
        <w:rPr>
          <w:rFonts w:ascii="Times New Roman" w:eastAsia="Calibri" w:hAnsi="Times New Roman" w:cs="Times New Roman"/>
          <w:sz w:val="24"/>
          <w:szCs w:val="24"/>
          <w:lang w:val="uk-UA"/>
        </w:rPr>
        <w:t>завдання на проектування.</w:t>
      </w:r>
    </w:p>
    <w:p w:rsidR="00015098" w:rsidRPr="00E0486A" w:rsidRDefault="00A831E0" w:rsidP="00A831E0">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sidRPr="00A831E0">
        <w:rPr>
          <w:rFonts w:ascii="Times New Roman" w:eastAsia="Calibri" w:hAnsi="Times New Roman" w:cs="Times New Roman"/>
          <w:sz w:val="24"/>
          <w:szCs w:val="24"/>
          <w:lang w:val="uk-UA"/>
        </w:rPr>
        <w:t>6.</w:t>
      </w:r>
      <w:r>
        <w:rPr>
          <w:rFonts w:ascii="Times New Roman" w:eastAsia="Calibri" w:hAnsi="Times New Roman" w:cs="Times New Roman"/>
          <w:b/>
          <w:sz w:val="24"/>
          <w:szCs w:val="24"/>
          <w:lang w:val="uk-UA"/>
        </w:rPr>
        <w:t xml:space="preserve"> </w:t>
      </w:r>
      <w:r w:rsidR="00015098" w:rsidRPr="00E0486A">
        <w:rPr>
          <w:rFonts w:ascii="Times New Roman" w:eastAsia="Calibri" w:hAnsi="Times New Roman" w:cs="Times New Roman"/>
          <w:b/>
          <w:sz w:val="24"/>
          <w:szCs w:val="24"/>
          <w:lang w:val="uk-UA"/>
        </w:rPr>
        <w:t xml:space="preserve">Місце </w:t>
      </w:r>
      <w:r w:rsidR="00992B58">
        <w:rPr>
          <w:rFonts w:ascii="Times New Roman" w:eastAsia="Calibri" w:hAnsi="Times New Roman" w:cs="Times New Roman"/>
          <w:b/>
          <w:sz w:val="24"/>
          <w:szCs w:val="24"/>
          <w:lang w:val="uk-UA"/>
        </w:rPr>
        <w:t>виконання робіт</w:t>
      </w:r>
      <w:r w:rsidR="00015098" w:rsidRPr="00E0486A">
        <w:rPr>
          <w:rFonts w:ascii="Times New Roman" w:eastAsia="Calibri" w:hAnsi="Times New Roman" w:cs="Times New Roman"/>
          <w:b/>
          <w:sz w:val="24"/>
          <w:szCs w:val="24"/>
          <w:lang w:val="uk-UA"/>
        </w:rPr>
        <w:t xml:space="preserve">: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A3261C">
        <w:rPr>
          <w:rFonts w:ascii="Times New Roman" w:eastAsia="Times New Roman" w:hAnsi="Times New Roman" w:cs="Times New Roman"/>
          <w:sz w:val="24"/>
          <w:szCs w:val="24"/>
          <w:lang w:val="uk-UA"/>
        </w:rPr>
        <w:t>вул. Лазурна.</w:t>
      </w:r>
      <w:r w:rsidR="00015098" w:rsidRPr="00E0486A">
        <w:rPr>
          <w:rFonts w:ascii="Times New Roman" w:eastAsia="Calibri" w:hAnsi="Times New Roman" w:cs="Times New Roman"/>
          <w:bCs/>
          <w:sz w:val="24"/>
          <w:szCs w:val="24"/>
          <w:lang w:val="uk-UA"/>
        </w:rPr>
        <w:t xml:space="preserve">   </w:t>
      </w:r>
      <w:r w:rsidR="00015098" w:rsidRPr="00E0486A">
        <w:rPr>
          <w:rFonts w:ascii="Times New Roman" w:eastAsia="Calibri" w:hAnsi="Times New Roman" w:cs="Times New Roman"/>
          <w:b/>
          <w:sz w:val="24"/>
          <w:szCs w:val="24"/>
          <w:lang w:val="uk-UA"/>
        </w:rPr>
        <w:t xml:space="preserve">              </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7.</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Очікувана вартість:</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1</w:t>
      </w:r>
      <w:r w:rsidR="00A3261C">
        <w:rPr>
          <w:rFonts w:ascii="Times New Roman" w:eastAsia="Calibri" w:hAnsi="Times New Roman" w:cs="Times New Roman"/>
          <w:sz w:val="24"/>
          <w:szCs w:val="24"/>
          <w:lang w:val="uk-UA"/>
        </w:rPr>
        <w:t> 450 000</w:t>
      </w:r>
      <w:r>
        <w:rPr>
          <w:rFonts w:ascii="Times New Roman" w:eastAsia="Calibri" w:hAnsi="Times New Roman" w:cs="Times New Roman"/>
          <w:sz w:val="24"/>
          <w:szCs w:val="24"/>
          <w:lang w:val="uk-UA"/>
        </w:rPr>
        <w:t>,00</w:t>
      </w:r>
      <w:r w:rsidR="00015098" w:rsidRPr="00015098">
        <w:rPr>
          <w:rFonts w:ascii="Times New Roman" w:eastAsia="Calibri" w:hAnsi="Times New Roman" w:cs="Times New Roman"/>
          <w:sz w:val="24"/>
          <w:szCs w:val="24"/>
          <w:lang w:val="uk-UA"/>
        </w:rPr>
        <w:t xml:space="preserve"> грн. з ПДВ.</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8.</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00015098" w:rsidRPr="00015098">
        <w:rPr>
          <w:rFonts w:ascii="Times New Roman" w:eastAsia="Calibri" w:hAnsi="Times New Roman" w:cs="Times New Roman"/>
          <w:b/>
          <w:sz w:val="24"/>
          <w:szCs w:val="24"/>
          <w:lang w:val="uk-UA"/>
        </w:rPr>
        <w:t>:</w:t>
      </w:r>
      <w:r w:rsidR="00015098" w:rsidRPr="00015098">
        <w:rPr>
          <w:rFonts w:ascii="Times New Roman" w:eastAsia="Calibri" w:hAnsi="Times New Roman" w:cs="Times New Roman"/>
          <w:sz w:val="24"/>
          <w:szCs w:val="24"/>
          <w:lang w:val="uk-UA"/>
        </w:rPr>
        <w:t xml:space="preserve"> з моменту підписання договору і до </w:t>
      </w:r>
      <w:r w:rsidR="00A3261C">
        <w:rPr>
          <w:rFonts w:ascii="Times New Roman" w:eastAsia="Calibri" w:hAnsi="Times New Roman" w:cs="Times New Roman"/>
          <w:sz w:val="24"/>
          <w:szCs w:val="24"/>
          <w:lang w:val="uk-UA"/>
        </w:rPr>
        <w:t>31</w:t>
      </w:r>
      <w:r w:rsidR="00015098" w:rsidRPr="00015098">
        <w:rPr>
          <w:rFonts w:ascii="Times New Roman" w:eastAsia="Calibri" w:hAnsi="Times New Roman" w:cs="Times New Roman"/>
          <w:sz w:val="24"/>
          <w:szCs w:val="24"/>
          <w:lang w:val="uk-UA"/>
        </w:rPr>
        <w:t>.</w:t>
      </w:r>
      <w:r w:rsidR="00A3261C">
        <w:rPr>
          <w:rFonts w:ascii="Times New Roman" w:eastAsia="Calibri" w:hAnsi="Times New Roman" w:cs="Times New Roman"/>
          <w:sz w:val="24"/>
          <w:szCs w:val="24"/>
          <w:lang w:val="uk-UA"/>
        </w:rPr>
        <w:t>10</w:t>
      </w:r>
      <w:r w:rsidR="00015098"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00015098" w:rsidRPr="00015098">
        <w:rPr>
          <w:rFonts w:ascii="Times New Roman" w:eastAsia="Calibri" w:hAnsi="Times New Roman" w:cs="Times New Roman"/>
          <w:sz w:val="24"/>
          <w:szCs w:val="24"/>
          <w:lang w:val="uk-UA"/>
        </w:rPr>
        <w:t>.</w:t>
      </w:r>
    </w:p>
    <w:p w:rsidR="00015098" w:rsidRPr="00015098" w:rsidRDefault="00A831E0" w:rsidP="00A831E0">
      <w:pPr>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9.</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Кінцевий строк подання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буде визначений після оприлюднення оголошення про проведення процедури закупівлі</w:t>
      </w:r>
      <w:r w:rsidR="00015098" w:rsidRPr="00015098">
        <w:rPr>
          <w:rFonts w:ascii="Times New Roman" w:eastAsia="Calibri" w:hAnsi="Times New Roman" w:cs="Times New Roman"/>
          <w:sz w:val="24"/>
          <w:szCs w:val="24"/>
          <w:lang w:val="uk-UA"/>
        </w:rPr>
        <w:t>.</w:t>
      </w:r>
    </w:p>
    <w:p w:rsidR="00FD0E9C" w:rsidRPr="00A831E0" w:rsidRDefault="00A831E0" w:rsidP="00A831E0">
      <w:pPr>
        <w:spacing w:line="240" w:lineRule="auto"/>
        <w:ind w:right="-74"/>
        <w:contextualSpacing/>
        <w:jc w:val="both"/>
        <w:rPr>
          <w:rFonts w:ascii="Times New Roman" w:eastAsia="Times New Roman" w:hAnsi="Times New Roman" w:cs="Times New Roman"/>
          <w:sz w:val="24"/>
          <w:szCs w:val="24"/>
          <w:lang w:val="uk-UA"/>
        </w:rPr>
      </w:pPr>
      <w:r w:rsidRPr="00A831E0">
        <w:rPr>
          <w:rFonts w:ascii="Times New Roman" w:eastAsia="Calibri" w:hAnsi="Times New Roman" w:cs="Times New Roman"/>
          <w:sz w:val="24"/>
          <w:szCs w:val="24"/>
          <w:lang w:val="uk-UA"/>
        </w:rPr>
        <w:t>10.</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Умови оплати: </w:t>
      </w:r>
      <w:r>
        <w:rPr>
          <w:rFonts w:ascii="Times New Roman" w:eastAsia="Times New Roman" w:hAnsi="Times New Roman" w:cs="Times New Roman"/>
          <w:sz w:val="24"/>
          <w:szCs w:val="24"/>
          <w:lang w:val="uk-UA"/>
        </w:rPr>
        <w:t>Розрахунки за надані послуги здійснюються на підставі рахунку протягом 20 (двадцяти) банківських днів з дня підписання Сторонами Акта приймання-передачі наданих послуг.</w:t>
      </w:r>
    </w:p>
    <w:p w:rsidR="00FD0E9C" w:rsidRPr="00A831E0" w:rsidRDefault="00A831E0" w:rsidP="00A831E0">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val="uk-UA" w:eastAsia="ru-RU"/>
        </w:rPr>
      </w:pPr>
      <w:r w:rsidRPr="00A831E0">
        <w:rPr>
          <w:rFonts w:ascii="Times New Roman" w:eastAsia="Calibri" w:hAnsi="Times New Roman" w:cs="Times New Roman"/>
          <w:sz w:val="24"/>
          <w:szCs w:val="24"/>
          <w:lang w:val="uk-UA"/>
        </w:rPr>
        <w:t>11.</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Гарантійний строк: </w:t>
      </w:r>
      <w:r>
        <w:rPr>
          <w:rFonts w:ascii="Times New Roman" w:eastAsia="Times New Roman" w:hAnsi="Times New Roman" w:cs="Times New Roman"/>
          <w:color w:val="000000"/>
          <w:sz w:val="24"/>
          <w:szCs w:val="24"/>
          <w:lang w:val="uk-UA" w:eastAsia="ru-RU"/>
        </w:rPr>
        <w:t>-</w:t>
      </w:r>
      <w:r w:rsidR="00FD0E9C" w:rsidRPr="00A831E0">
        <w:rPr>
          <w:rFonts w:ascii="Times New Roman" w:eastAsia="Times New Roman" w:hAnsi="Times New Roman" w:cs="Times New Roman"/>
          <w:color w:val="000000"/>
          <w:sz w:val="24"/>
          <w:szCs w:val="24"/>
          <w:lang w:val="uk-UA" w:eastAsia="ru-RU"/>
        </w:rPr>
        <w:t xml:space="preserve">. </w:t>
      </w:r>
    </w:p>
    <w:p w:rsidR="00015098" w:rsidRPr="00A831E0" w:rsidRDefault="00A831E0" w:rsidP="00A831E0">
      <w:pPr>
        <w:shd w:val="clear" w:color="auto" w:fill="FFFFFF"/>
        <w:spacing w:after="0" w:line="240" w:lineRule="auto"/>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12.</w:t>
      </w:r>
      <w:r w:rsidRPr="00A831E0">
        <w:rPr>
          <w:rFonts w:ascii="Times New Roman" w:eastAsia="Calibri" w:hAnsi="Times New Roman" w:cs="Times New Roman"/>
          <w:b/>
          <w:sz w:val="24"/>
          <w:szCs w:val="24"/>
          <w:lang w:val="uk-UA"/>
        </w:rPr>
        <w:t xml:space="preserve"> </w:t>
      </w:r>
      <w:r w:rsidR="00015098" w:rsidRPr="00A831E0">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A831E0">
        <w:rPr>
          <w:rFonts w:ascii="Times New Roman" w:eastAsia="Calibri" w:hAnsi="Times New Roman" w:cs="Times New Roman"/>
          <w:sz w:val="24"/>
          <w:szCs w:val="24"/>
          <w:lang w:val="uk-UA"/>
        </w:rPr>
        <w:t>українська</w:t>
      </w:r>
      <w:r w:rsidR="00015098" w:rsidRPr="00A831E0">
        <w:rPr>
          <w:rFonts w:ascii="Times New Roman" w:eastAsia="Times New Roman" w:hAnsi="Times New Roman" w:cs="Times New Roman"/>
          <w:sz w:val="24"/>
          <w:szCs w:val="24"/>
          <w:lang w:val="uk-UA"/>
        </w:rPr>
        <w:t xml:space="preserve">. </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13.</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01509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не вимагається</w:t>
      </w:r>
      <w:r w:rsidR="00015098" w:rsidRPr="00015098">
        <w:rPr>
          <w:rFonts w:ascii="Times New Roman" w:eastAsia="Calibri" w:hAnsi="Times New Roman" w:cs="Times New Roman"/>
          <w:sz w:val="24"/>
          <w:szCs w:val="24"/>
          <w:lang w:val="uk-UA"/>
        </w:rPr>
        <w:t>.</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14.</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Дата та час розкриття тендерних пропозицій:</w:t>
      </w:r>
      <w:r w:rsidR="00015098" w:rsidRPr="00015098">
        <w:rPr>
          <w:rFonts w:ascii="Calibri" w:eastAsia="Calibri" w:hAnsi="Calibri" w:cs="Times New Roman"/>
        </w:rPr>
        <w:t xml:space="preserve"> </w:t>
      </w:r>
      <w:r w:rsidR="00015098"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A831E0" w:rsidP="00A831E0">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15.</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Розмір мінімального кроку пониження ціни: </w:t>
      </w:r>
      <w:r w:rsidR="00015098" w:rsidRPr="00015098">
        <w:rPr>
          <w:rFonts w:ascii="Times New Roman" w:eastAsia="Calibri" w:hAnsi="Times New Roman" w:cs="Times New Roman"/>
          <w:sz w:val="24"/>
          <w:szCs w:val="24"/>
          <w:lang w:val="uk-UA"/>
        </w:rPr>
        <w:t>1%.</w:t>
      </w:r>
    </w:p>
    <w:p w:rsidR="00A3261C" w:rsidRDefault="00A831E0" w:rsidP="00A3261C">
      <w:pPr>
        <w:tabs>
          <w:tab w:val="left" w:pos="426"/>
        </w:tabs>
        <w:spacing w:after="0" w:line="240" w:lineRule="auto"/>
        <w:contextualSpacing/>
        <w:jc w:val="both"/>
        <w:rPr>
          <w:rFonts w:ascii="Times New Roman" w:eastAsia="Calibri" w:hAnsi="Times New Roman" w:cs="Times New Roman"/>
          <w:sz w:val="24"/>
          <w:szCs w:val="24"/>
          <w:lang w:val="uk-UA"/>
        </w:rPr>
      </w:pPr>
      <w:r w:rsidRPr="00A831E0">
        <w:rPr>
          <w:rFonts w:ascii="Times New Roman" w:eastAsia="Calibri" w:hAnsi="Times New Roman" w:cs="Times New Roman"/>
          <w:sz w:val="24"/>
          <w:szCs w:val="24"/>
          <w:lang w:val="uk-UA"/>
        </w:rPr>
        <w:t>16.</w:t>
      </w: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015098">
        <w:rPr>
          <w:rFonts w:ascii="Times New Roman" w:eastAsia="Calibri" w:hAnsi="Times New Roman" w:cs="Times New Roman"/>
          <w:sz w:val="24"/>
          <w:szCs w:val="24"/>
          <w:lang w:val="uk-UA"/>
        </w:rPr>
        <w:t xml:space="preserve">.  </w:t>
      </w:r>
    </w:p>
    <w:p w:rsidR="00015098" w:rsidRPr="00A3261C" w:rsidRDefault="00A831E0" w:rsidP="00A3261C">
      <w:pPr>
        <w:tabs>
          <w:tab w:val="left" w:pos="426"/>
        </w:tabs>
        <w:spacing w:after="0" w:line="240" w:lineRule="auto"/>
        <w:contextualSpacing/>
        <w:jc w:val="both"/>
        <w:rPr>
          <w:rFonts w:ascii="Times New Roman" w:eastAsia="Calibri" w:hAnsi="Times New Roman" w:cs="Times New Roman"/>
          <w:sz w:val="24"/>
          <w:szCs w:val="24"/>
          <w:lang w:val="uk-UA"/>
        </w:rPr>
      </w:pPr>
      <w:r w:rsidRPr="00A3261C">
        <w:rPr>
          <w:rFonts w:ascii="Times New Roman" w:eastAsia="Calibri" w:hAnsi="Times New Roman" w:cs="Times New Roman"/>
          <w:sz w:val="24"/>
          <w:szCs w:val="24"/>
          <w:lang w:val="uk-UA"/>
        </w:rPr>
        <w:t>17.</w:t>
      </w:r>
      <w:r w:rsidRPr="00A3261C">
        <w:rPr>
          <w:rFonts w:ascii="Times New Roman" w:eastAsia="Calibri" w:hAnsi="Times New Roman" w:cs="Times New Roman"/>
          <w:b/>
          <w:sz w:val="24"/>
          <w:szCs w:val="24"/>
          <w:lang w:val="uk-UA"/>
        </w:rPr>
        <w:t xml:space="preserve"> </w:t>
      </w:r>
      <w:r w:rsidR="00015098" w:rsidRPr="00A3261C">
        <w:rPr>
          <w:rFonts w:ascii="Times New Roman" w:eastAsia="Calibri" w:hAnsi="Times New Roman" w:cs="Times New Roman"/>
          <w:b/>
          <w:sz w:val="24"/>
          <w:szCs w:val="24"/>
          <w:lang w:val="uk-UA"/>
        </w:rPr>
        <w:t xml:space="preserve">Підтвердження визначення очікуваної вартості: </w:t>
      </w:r>
      <w:r w:rsidR="00A3261C" w:rsidRPr="00A3261C">
        <w:rPr>
          <w:rFonts w:ascii="Times New Roman" w:eastAsia="Calibri" w:hAnsi="Times New Roman" w:cs="Times New Roman"/>
          <w:sz w:val="24"/>
          <w:szCs w:val="24"/>
          <w:lang w:val="uk-UA"/>
        </w:rPr>
        <w:t xml:space="preserve">очікувана вартість визначена </w:t>
      </w:r>
      <w:r w:rsidR="001850CF">
        <w:rPr>
          <w:rFonts w:ascii="Times New Roman" w:eastAsia="Calibri" w:hAnsi="Times New Roman" w:cs="Times New Roman"/>
          <w:sz w:val="24"/>
          <w:szCs w:val="24"/>
          <w:lang w:val="uk-UA"/>
        </w:rPr>
        <w:t>з урахуванням приписів пп. 1 п. 1.3, п. 2.6 Настанови з визначення вартості проектни</w:t>
      </w:r>
      <w:r w:rsidR="007E0947">
        <w:rPr>
          <w:rFonts w:ascii="Times New Roman" w:eastAsia="Calibri" w:hAnsi="Times New Roman" w:cs="Times New Roman"/>
          <w:sz w:val="24"/>
          <w:szCs w:val="24"/>
          <w:lang w:val="uk-UA"/>
        </w:rPr>
        <w:t>х</w:t>
      </w:r>
      <w:r w:rsidR="001850CF">
        <w:rPr>
          <w:rFonts w:ascii="Times New Roman" w:eastAsia="Calibri" w:hAnsi="Times New Roman" w:cs="Times New Roman"/>
          <w:sz w:val="24"/>
          <w:szCs w:val="24"/>
          <w:lang w:val="uk-UA"/>
        </w:rPr>
        <w:t xml:space="preserve">, науково-проектних, вишукувальних робіт та експертизи проектної документації на будівництво, затвердженої наказом </w:t>
      </w:r>
      <w:r w:rsidR="007E0947">
        <w:rPr>
          <w:rFonts w:ascii="Times New Roman" w:eastAsia="Calibri" w:hAnsi="Times New Roman" w:cs="Times New Roman"/>
          <w:sz w:val="24"/>
          <w:szCs w:val="24"/>
          <w:lang w:val="uk-UA"/>
        </w:rPr>
        <w:t>Міністерства розвитку громад та територій України</w:t>
      </w:r>
      <w:r w:rsidR="001850CF">
        <w:rPr>
          <w:rFonts w:ascii="Times New Roman" w:eastAsia="Calibri" w:hAnsi="Times New Roman" w:cs="Times New Roman"/>
          <w:sz w:val="24"/>
          <w:szCs w:val="24"/>
          <w:lang w:val="uk-UA"/>
        </w:rPr>
        <w:t xml:space="preserve"> від 01.11.2021 року №281</w:t>
      </w:r>
      <w:r w:rsidR="007E0947" w:rsidRPr="007E0947">
        <w:rPr>
          <w:rFonts w:ascii="Times New Roman" w:eastAsia="Calibri" w:hAnsi="Times New Roman" w:cs="Times New Roman"/>
          <w:sz w:val="24"/>
          <w:szCs w:val="24"/>
          <w:lang w:val="uk-UA"/>
        </w:rPr>
        <w:t xml:space="preserve"> «Про затвердження кошторисних норм України у будівництві»</w:t>
      </w:r>
      <w:r w:rsidR="001850CF">
        <w:rPr>
          <w:rFonts w:ascii="Times New Roman" w:eastAsia="Calibri" w:hAnsi="Times New Roman" w:cs="Times New Roman"/>
          <w:sz w:val="24"/>
          <w:szCs w:val="24"/>
          <w:lang w:val="uk-UA"/>
        </w:rPr>
        <w:t>. За основу прийнято два аналогічних проекти, які були розроблені на замовлення ДЖКГ ММР у різні періоди та які отримали позитивні експертні звіти.</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8344EB" w:rsidRDefault="008344EB" w:rsidP="00E608FD">
      <w:pPr>
        <w:pStyle w:val="a3"/>
        <w:spacing w:after="0" w:line="240" w:lineRule="auto"/>
        <w:ind w:left="284"/>
        <w:jc w:val="both"/>
        <w:rPr>
          <w:rFonts w:ascii="Times New Roman" w:hAnsi="Times New Roman" w:cs="Times New Roman"/>
          <w:sz w:val="24"/>
          <w:szCs w:val="24"/>
          <w:lang w:val="uk-UA"/>
        </w:rPr>
      </w:pPr>
    </w:p>
    <w:p w:rsidR="00A3261C" w:rsidRDefault="00A3261C" w:rsidP="00E608FD">
      <w:pPr>
        <w:pStyle w:val="a3"/>
        <w:spacing w:after="0" w:line="240" w:lineRule="auto"/>
        <w:ind w:left="284"/>
        <w:jc w:val="both"/>
        <w:rPr>
          <w:rFonts w:ascii="Times New Roman" w:hAnsi="Times New Roman" w:cs="Times New Roman"/>
          <w:sz w:val="24"/>
          <w:szCs w:val="24"/>
          <w:lang w:val="uk-UA"/>
        </w:rPr>
      </w:pPr>
    </w:p>
    <w:p w:rsidR="00F7591E" w:rsidRPr="00A3261C" w:rsidRDefault="00A3261C" w:rsidP="00A3261C">
      <w:pPr>
        <w:autoSpaceDE w:val="0"/>
        <w:autoSpaceDN w:val="0"/>
        <w:spacing w:after="0" w:line="240" w:lineRule="auto"/>
        <w:jc w:val="center"/>
        <w:rPr>
          <w:rFonts w:ascii="Times New Roman" w:eastAsia="Times New Roman" w:hAnsi="Times New Roman" w:cs="Times New Roman"/>
          <w:b/>
          <w:sz w:val="24"/>
          <w:szCs w:val="24"/>
          <w:lang w:val="uk-UA"/>
        </w:rPr>
      </w:pPr>
      <w:r w:rsidRPr="00A3261C">
        <w:rPr>
          <w:rFonts w:ascii="Times New Roman" w:eastAsia="Times New Roman" w:hAnsi="Times New Roman" w:cs="Times New Roman"/>
          <w:b/>
          <w:sz w:val="24"/>
          <w:szCs w:val="24"/>
          <w:lang w:val="uk-UA"/>
        </w:rPr>
        <w:lastRenderedPageBreak/>
        <w:t xml:space="preserve">Завдання на </w:t>
      </w:r>
      <w:proofErr w:type="spellStart"/>
      <w:r w:rsidRPr="00A3261C">
        <w:rPr>
          <w:rFonts w:ascii="Times New Roman" w:eastAsia="Times New Roman" w:hAnsi="Times New Roman" w:cs="Times New Roman"/>
          <w:b/>
          <w:sz w:val="24"/>
          <w:szCs w:val="24"/>
          <w:lang w:val="uk-UA"/>
        </w:rPr>
        <w:t>проєктуваня</w:t>
      </w:r>
      <w:proofErr w:type="spellEnd"/>
    </w:p>
    <w:p w:rsidR="009E34F6" w:rsidRPr="00A3261C" w:rsidRDefault="00CB54BF" w:rsidP="00A3261C">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A3261C">
        <w:rPr>
          <w:rFonts w:ascii="Times New Roman" w:eastAsia="Arial" w:hAnsi="Times New Roman" w:cs="Times New Roman"/>
          <w:b/>
          <w:color w:val="000000"/>
          <w:sz w:val="24"/>
          <w:szCs w:val="24"/>
          <w:lang w:val="uk-UA" w:eastAsia="ru-RU"/>
        </w:rPr>
        <w:tab/>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3780"/>
        <w:gridCol w:w="5345"/>
      </w:tblGrid>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52" w:right="222" w:firstLine="47"/>
              <w:rPr>
                <w:sz w:val="24"/>
                <w:szCs w:val="24"/>
              </w:rPr>
            </w:pPr>
            <w:r w:rsidRPr="00A3261C">
              <w:rPr>
                <w:sz w:val="24"/>
                <w:szCs w:val="24"/>
              </w:rPr>
              <w:t>№п/п</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40" w:hanging="181"/>
              <w:jc w:val="center"/>
              <w:rPr>
                <w:sz w:val="24"/>
                <w:szCs w:val="24"/>
              </w:rPr>
            </w:pPr>
            <w:r w:rsidRPr="00A3261C">
              <w:rPr>
                <w:sz w:val="24"/>
                <w:szCs w:val="24"/>
              </w:rPr>
              <w:t>Перелік основних даних і вимог</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476"/>
              <w:rPr>
                <w:sz w:val="24"/>
                <w:szCs w:val="24"/>
              </w:rPr>
            </w:pPr>
            <w:r w:rsidRPr="00A3261C">
              <w:rPr>
                <w:sz w:val="24"/>
                <w:szCs w:val="24"/>
              </w:rPr>
              <w:t>Основні дані та вимоги</w:t>
            </w:r>
          </w:p>
        </w:tc>
      </w:tr>
      <w:tr w:rsidR="00A3261C" w:rsidRPr="00A3261C" w:rsidTr="00A3261C">
        <w:trPr>
          <w:trHeight w:val="458"/>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824"/>
              <w:rPr>
                <w:sz w:val="24"/>
                <w:szCs w:val="24"/>
              </w:rPr>
            </w:pPr>
            <w:r w:rsidRPr="00A3261C">
              <w:rPr>
                <w:sz w:val="24"/>
                <w:szCs w:val="24"/>
              </w:rPr>
              <w:t>Назва та місце находження об’єкта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85"/>
              <w:rPr>
                <w:sz w:val="24"/>
                <w:szCs w:val="24"/>
              </w:rPr>
            </w:pPr>
            <w:r w:rsidRPr="00A3261C">
              <w:rPr>
                <w:sz w:val="24"/>
                <w:szCs w:val="24"/>
              </w:rPr>
              <w:t>Капітальний ремонт мережі зливової каналізації по вул. Лазурна в м. Миколаєві</w:t>
            </w:r>
          </w:p>
        </w:tc>
      </w:tr>
      <w:tr w:rsidR="00A3261C" w:rsidRPr="00A3261C" w:rsidTr="00A3261C">
        <w:trPr>
          <w:trHeight w:val="579"/>
        </w:trPr>
        <w:tc>
          <w:tcPr>
            <w:tcW w:w="828"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ind w:left="0"/>
              <w:rPr>
                <w:b/>
                <w:sz w:val="24"/>
                <w:szCs w:val="24"/>
              </w:rPr>
            </w:pPr>
          </w:p>
          <w:p w:rsidR="00A3261C" w:rsidRPr="00A3261C" w:rsidRDefault="00A3261C" w:rsidP="00A3261C">
            <w:pPr>
              <w:pStyle w:val="TableParagraph"/>
              <w:ind w:left="354"/>
              <w:rPr>
                <w:sz w:val="24"/>
                <w:szCs w:val="24"/>
              </w:rPr>
            </w:pPr>
            <w:r w:rsidRPr="00A3261C">
              <w:rPr>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 xml:space="preserve">Підстава для </w:t>
            </w:r>
            <w:proofErr w:type="spellStart"/>
            <w:r w:rsidRPr="00A3261C">
              <w:rPr>
                <w:sz w:val="24"/>
                <w:szCs w:val="24"/>
              </w:rPr>
              <w:t>проєктування</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437"/>
              <w:jc w:val="both"/>
              <w:rPr>
                <w:sz w:val="24"/>
                <w:szCs w:val="24"/>
              </w:rPr>
            </w:pPr>
            <w:r w:rsidRPr="00A3261C">
              <w:rPr>
                <w:sz w:val="24"/>
                <w:szCs w:val="24"/>
              </w:rPr>
              <w:t>Програма реформування та розвитку житлово-комунального господарства міста Миколаєва на 2020-2024 роки, затверджена рішенням Миколаївської міської ради від 20.12.2019 № 56/62</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Вид будівництва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Капітальний ремонт</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інвестора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замовника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85"/>
              <w:rPr>
                <w:sz w:val="24"/>
                <w:szCs w:val="24"/>
              </w:rPr>
            </w:pPr>
            <w:r w:rsidRPr="00A3261C">
              <w:rPr>
                <w:sz w:val="24"/>
                <w:szCs w:val="24"/>
              </w:rPr>
              <w:t>Департамент житлово</w:t>
            </w:r>
            <w:r>
              <w:rPr>
                <w:sz w:val="24"/>
                <w:szCs w:val="24"/>
              </w:rPr>
              <w:t>-</w:t>
            </w:r>
            <w:r w:rsidRPr="00A3261C">
              <w:rPr>
                <w:sz w:val="24"/>
                <w:szCs w:val="24"/>
              </w:rPr>
              <w:t>комунального господарства Миколаївської міської ради</w:t>
            </w:r>
          </w:p>
          <w:p w:rsidR="00A3261C" w:rsidRPr="00A3261C" w:rsidRDefault="00A3261C" w:rsidP="00A3261C">
            <w:pPr>
              <w:pStyle w:val="TableParagraph"/>
              <w:ind w:right="185"/>
              <w:rPr>
                <w:sz w:val="24"/>
                <w:szCs w:val="24"/>
              </w:rPr>
            </w:pPr>
            <w:r w:rsidRPr="00A3261C">
              <w:rPr>
                <w:sz w:val="24"/>
                <w:szCs w:val="24"/>
              </w:rPr>
              <w:t>м. Миколаїв, 54030, вул. Адмірала Макарова, 7 Код ЄДРПОУ 03365707</w:t>
            </w:r>
          </w:p>
          <w:p w:rsidR="00A3261C" w:rsidRPr="00A3261C" w:rsidRDefault="00A3261C" w:rsidP="00A3261C">
            <w:pPr>
              <w:pStyle w:val="TableParagraph"/>
              <w:ind w:right="185"/>
              <w:rPr>
                <w:sz w:val="24"/>
                <w:szCs w:val="24"/>
              </w:rPr>
            </w:pPr>
            <w:r w:rsidRPr="00A3261C">
              <w:rPr>
                <w:sz w:val="24"/>
                <w:szCs w:val="24"/>
              </w:rPr>
              <w:t>E-</w:t>
            </w:r>
            <w:proofErr w:type="spellStart"/>
            <w:r w:rsidRPr="00A3261C">
              <w:rPr>
                <w:sz w:val="24"/>
                <w:szCs w:val="24"/>
              </w:rPr>
              <w:t>mail</w:t>
            </w:r>
            <w:proofErr w:type="spellEnd"/>
            <w:r w:rsidRPr="00A3261C">
              <w:rPr>
                <w:sz w:val="24"/>
                <w:szCs w:val="24"/>
              </w:rPr>
              <w:t xml:space="preserve">: </w:t>
            </w:r>
            <w:hyperlink r:id="rId8" w:history="1">
              <w:proofErr w:type="spellStart"/>
              <w:r w:rsidRPr="00A3261C">
                <w:rPr>
                  <w:rStyle w:val="ac"/>
                  <w:sz w:val="24"/>
                  <w:szCs w:val="24"/>
                </w:rPr>
                <w:t>obshdgkh</w:t>
              </w:r>
              <w:proofErr w:type="spellEnd"/>
              <w:r w:rsidRPr="00A3261C">
                <w:rPr>
                  <w:rStyle w:val="ac"/>
                  <w:sz w:val="24"/>
                  <w:szCs w:val="24"/>
                </w:rPr>
                <w:t>@</w:t>
              </w:r>
              <w:proofErr w:type="spellStart"/>
              <w:r w:rsidRPr="00A3261C">
                <w:rPr>
                  <w:rStyle w:val="ac"/>
                  <w:sz w:val="24"/>
                  <w:szCs w:val="24"/>
                </w:rPr>
                <w:t>mkrada.gov.ua</w:t>
              </w:r>
              <w:proofErr w:type="spellEnd"/>
            </w:hyperlink>
            <w:r w:rsidRPr="00A3261C">
              <w:rPr>
                <w:sz w:val="24"/>
                <w:szCs w:val="24"/>
              </w:rPr>
              <w:t xml:space="preserve">  </w:t>
            </w:r>
          </w:p>
        </w:tc>
      </w:tr>
      <w:tr w:rsidR="00A3261C" w:rsidRPr="00A3261C" w:rsidTr="00A3261C">
        <w:trPr>
          <w:trHeight w:val="275"/>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6</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Джерело фінансування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Місцевий бюджет, інші джерела фінансування не заборонені законодавством України</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5"/>
              <w:rPr>
                <w:sz w:val="24"/>
                <w:szCs w:val="24"/>
              </w:rPr>
            </w:pPr>
            <w:r w:rsidRPr="00A3261C">
              <w:rPr>
                <w:sz w:val="24"/>
                <w:szCs w:val="24"/>
              </w:rPr>
              <w:t xml:space="preserve">Необхідність розрахунків ефективності інвестицій на основі варіантного </w:t>
            </w:r>
            <w:proofErr w:type="spellStart"/>
            <w:r w:rsidRPr="00A3261C">
              <w:rPr>
                <w:sz w:val="24"/>
                <w:szCs w:val="24"/>
              </w:rPr>
              <w:t>проєктування</w:t>
            </w:r>
            <w:proofErr w:type="spellEnd"/>
            <w:r w:rsidRPr="00A3261C">
              <w:rPr>
                <w:sz w:val="24"/>
                <w:szCs w:val="24"/>
              </w:rPr>
              <w:t>.</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вимагаються</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8</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42"/>
              <w:rPr>
                <w:sz w:val="24"/>
                <w:szCs w:val="24"/>
              </w:rPr>
            </w:pPr>
            <w:r w:rsidRPr="00A3261C">
              <w:rPr>
                <w:sz w:val="24"/>
                <w:szCs w:val="24"/>
              </w:rPr>
              <w:t xml:space="preserve">Дані про генерального </w:t>
            </w:r>
            <w:proofErr w:type="spellStart"/>
            <w:r w:rsidRPr="00A3261C">
              <w:rPr>
                <w:sz w:val="24"/>
                <w:szCs w:val="24"/>
              </w:rPr>
              <w:t>проєктувальника</w:t>
            </w:r>
            <w:proofErr w:type="spellEnd"/>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Визначається згідно Закону України «Про публічні закупівлі»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354"/>
              <w:rPr>
                <w:sz w:val="24"/>
                <w:szCs w:val="24"/>
              </w:rPr>
            </w:pPr>
            <w:r w:rsidRPr="00A3261C">
              <w:rPr>
                <w:sz w:val="24"/>
                <w:szCs w:val="24"/>
              </w:rPr>
              <w:t>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78"/>
              <w:rPr>
                <w:sz w:val="24"/>
                <w:szCs w:val="24"/>
              </w:rPr>
            </w:pPr>
            <w:r w:rsidRPr="00A3261C">
              <w:rPr>
                <w:sz w:val="24"/>
                <w:szCs w:val="24"/>
              </w:rPr>
              <w:t xml:space="preserve">Стадійність </w:t>
            </w:r>
            <w:proofErr w:type="spellStart"/>
            <w:r w:rsidRPr="00A3261C">
              <w:rPr>
                <w:sz w:val="24"/>
                <w:szCs w:val="24"/>
              </w:rPr>
              <w:t>проєктування</w:t>
            </w:r>
            <w:proofErr w:type="spellEnd"/>
            <w:r w:rsidRPr="00A3261C">
              <w:rPr>
                <w:sz w:val="24"/>
                <w:szCs w:val="24"/>
              </w:rPr>
              <w:t xml:space="preserve"> з визначенням </w:t>
            </w:r>
            <w:proofErr w:type="spellStart"/>
            <w:r w:rsidRPr="00A3261C">
              <w:rPr>
                <w:sz w:val="24"/>
                <w:szCs w:val="24"/>
              </w:rPr>
              <w:t>затверджувальної</w:t>
            </w:r>
            <w:proofErr w:type="spellEnd"/>
            <w:r w:rsidRPr="00A3261C">
              <w:rPr>
                <w:sz w:val="24"/>
                <w:szCs w:val="24"/>
              </w:rPr>
              <w:t xml:space="preserve"> стадії (визначається спільно замовником та </w:t>
            </w:r>
            <w:proofErr w:type="spellStart"/>
            <w:r w:rsidRPr="00A3261C">
              <w:rPr>
                <w:sz w:val="24"/>
                <w:szCs w:val="24"/>
              </w:rPr>
              <w:t>проєктувальником</w:t>
            </w:r>
            <w:proofErr w:type="spellEnd"/>
            <w:r w:rsidRPr="00A3261C">
              <w:rPr>
                <w:sz w:val="24"/>
                <w:szCs w:val="24"/>
              </w:rPr>
              <w:t>)</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 xml:space="preserve">Розробити згідно вимог ДБНА.2.2-3:2014 «Склад та зміст проектної документації на будівництво» зі змінами у одну стадію – Робочий проект (РП) відповідно до Додатку Е </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Дані про інженерні вишукування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Виконати в обсязі передбаченому відповідно до ДБН  А.2.1-1-2008  «Інженерні вишукування для будівництва»</w:t>
            </w:r>
          </w:p>
        </w:tc>
      </w:tr>
      <w:tr w:rsidR="00A3261C" w:rsidRPr="00A3261C" w:rsidTr="00A3261C">
        <w:trPr>
          <w:trHeight w:val="69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35"/>
              <w:rPr>
                <w:sz w:val="24"/>
                <w:szCs w:val="24"/>
              </w:rPr>
            </w:pPr>
            <w:r w:rsidRPr="00A3261C">
              <w:rPr>
                <w:sz w:val="24"/>
                <w:szCs w:val="24"/>
              </w:rPr>
              <w:t xml:space="preserve">Дані про особливі умови будівництва (сейсмічність, просадні ґрунти, </w:t>
            </w:r>
            <w:proofErr w:type="spellStart"/>
            <w:r w:rsidRPr="00A3261C">
              <w:rPr>
                <w:sz w:val="24"/>
                <w:szCs w:val="24"/>
              </w:rPr>
              <w:t>підроблювані</w:t>
            </w:r>
            <w:proofErr w:type="spellEnd"/>
            <w:r w:rsidRPr="00A3261C">
              <w:rPr>
                <w:sz w:val="24"/>
                <w:szCs w:val="24"/>
              </w:rPr>
              <w:t xml:space="preserve"> і </w:t>
            </w:r>
            <w:proofErr w:type="spellStart"/>
            <w:r w:rsidRPr="00A3261C">
              <w:rPr>
                <w:sz w:val="24"/>
                <w:szCs w:val="24"/>
              </w:rPr>
              <w:t>підтоплювані</w:t>
            </w:r>
            <w:proofErr w:type="spellEnd"/>
            <w:r w:rsidRPr="00A3261C">
              <w:rPr>
                <w:sz w:val="24"/>
                <w:szCs w:val="24"/>
              </w:rPr>
              <w:t xml:space="preserve"> території тощо)</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95"/>
              <w:jc w:val="both"/>
              <w:rPr>
                <w:sz w:val="24"/>
                <w:szCs w:val="24"/>
              </w:rPr>
            </w:pPr>
            <w:r w:rsidRPr="00A3261C">
              <w:rPr>
                <w:sz w:val="24"/>
                <w:szCs w:val="24"/>
              </w:rPr>
              <w:t>Визначити на підставі матеріалів інженерних вишукувань, у відповідності з діючими нормами і правилами.</w:t>
            </w:r>
          </w:p>
        </w:tc>
      </w:tr>
      <w:tr w:rsidR="00A3261C" w:rsidRPr="00A3261C" w:rsidTr="00A3261C">
        <w:trPr>
          <w:trHeight w:val="1126"/>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94"/>
              <w:rPr>
                <w:sz w:val="24"/>
                <w:szCs w:val="24"/>
              </w:rPr>
            </w:pPr>
            <w:r w:rsidRPr="00A3261C">
              <w:rPr>
                <w:sz w:val="24"/>
                <w:szCs w:val="24"/>
              </w:rPr>
              <w:t>12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83"/>
              <w:rPr>
                <w:sz w:val="24"/>
                <w:szCs w:val="24"/>
              </w:rPr>
            </w:pPr>
            <w:r w:rsidRPr="00A3261C">
              <w:rPr>
                <w:sz w:val="24"/>
                <w:szCs w:val="24"/>
              </w:rPr>
              <w:t>Основні архітектурно-планувальні вимоги і характеристики об’єкта будівництва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Архітектурно-планувальна структура об’єкту визначається відповідно до ДБН В.2.3-5:2018 «Вулиці та дороги населених пунктів», та інших чинних будівельних норм та норм законодавства України.</w:t>
            </w:r>
          </w:p>
          <w:p w:rsidR="00A3261C" w:rsidRPr="00A3261C" w:rsidRDefault="00A3261C" w:rsidP="00A3261C">
            <w:pPr>
              <w:pStyle w:val="TableParagraph"/>
              <w:numPr>
                <w:ilvl w:val="0"/>
                <w:numId w:val="44"/>
              </w:numPr>
              <w:tabs>
                <w:tab w:val="left" w:pos="248"/>
                <w:tab w:val="left" w:pos="5345"/>
              </w:tabs>
              <w:ind w:right="136"/>
              <w:rPr>
                <w:sz w:val="24"/>
                <w:szCs w:val="24"/>
              </w:rPr>
            </w:pPr>
            <w:proofErr w:type="spellStart"/>
            <w:r w:rsidRPr="00A3261C">
              <w:rPr>
                <w:sz w:val="24"/>
                <w:szCs w:val="24"/>
              </w:rPr>
              <w:t>Проєктом</w:t>
            </w:r>
            <w:proofErr w:type="spellEnd"/>
            <w:r w:rsidRPr="00A3261C">
              <w:rPr>
                <w:sz w:val="24"/>
                <w:szCs w:val="24"/>
              </w:rPr>
              <w:t xml:space="preserve"> передбачити:</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xml:space="preserve">– облаштування/ремонт закритої системи водовідведення, якою врахувати площу водозбору вул. Лазурній (орієнтовно 10760 </w:t>
            </w:r>
            <w:proofErr w:type="spellStart"/>
            <w:r w:rsidRPr="00A3261C">
              <w:rPr>
                <w:sz w:val="24"/>
                <w:szCs w:val="24"/>
              </w:rPr>
              <w:t>кв.м</w:t>
            </w:r>
            <w:proofErr w:type="spellEnd"/>
            <w:r w:rsidRPr="00A3261C">
              <w:rPr>
                <w:sz w:val="24"/>
                <w:szCs w:val="24"/>
              </w:rPr>
              <w:t xml:space="preserve"> - уточнити </w:t>
            </w:r>
            <w:proofErr w:type="spellStart"/>
            <w:r w:rsidRPr="00A3261C">
              <w:rPr>
                <w:sz w:val="24"/>
                <w:szCs w:val="24"/>
              </w:rPr>
              <w:t>проєктом</w:t>
            </w:r>
            <w:proofErr w:type="spellEnd"/>
            <w:r w:rsidRPr="00A3261C">
              <w:rPr>
                <w:sz w:val="24"/>
                <w:szCs w:val="24"/>
              </w:rPr>
              <w:t xml:space="preserve">) та передбачити додатково 50% запасу від прилеглих території (орієнтовно 16140 </w:t>
            </w:r>
            <w:proofErr w:type="spellStart"/>
            <w:r w:rsidRPr="00A3261C">
              <w:rPr>
                <w:sz w:val="24"/>
                <w:szCs w:val="24"/>
              </w:rPr>
              <w:t>кв.м</w:t>
            </w:r>
            <w:proofErr w:type="spellEnd"/>
            <w:r w:rsidRPr="00A3261C">
              <w:rPr>
                <w:sz w:val="24"/>
                <w:szCs w:val="24"/>
              </w:rPr>
              <w:t xml:space="preserve"> – уточнити </w:t>
            </w:r>
            <w:proofErr w:type="spellStart"/>
            <w:r w:rsidRPr="00A3261C">
              <w:rPr>
                <w:sz w:val="24"/>
                <w:szCs w:val="24"/>
              </w:rPr>
              <w:t>проєктом</w:t>
            </w:r>
            <w:proofErr w:type="spellEnd"/>
            <w:r w:rsidRPr="00A3261C">
              <w:rPr>
                <w:sz w:val="24"/>
                <w:szCs w:val="24"/>
              </w:rPr>
              <w:t xml:space="preserve">);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діаметри труб, кількість </w:t>
            </w:r>
            <w:proofErr w:type="spellStart"/>
            <w:r w:rsidRPr="00A3261C">
              <w:rPr>
                <w:sz w:val="24"/>
                <w:szCs w:val="24"/>
              </w:rPr>
              <w:t>зливоприймачів</w:t>
            </w:r>
            <w:proofErr w:type="spellEnd"/>
            <w:r w:rsidRPr="00A3261C">
              <w:rPr>
                <w:sz w:val="24"/>
                <w:szCs w:val="24"/>
              </w:rPr>
              <w:t xml:space="preserve">, оглядових колодязів, визначити розрахунком;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дощоприймачі чавуні, </w:t>
            </w:r>
            <w:r w:rsidRPr="00A3261C">
              <w:rPr>
                <w:sz w:val="24"/>
                <w:szCs w:val="24"/>
              </w:rPr>
              <w:lastRenderedPageBreak/>
              <w:t xml:space="preserve">магістральні по 2шт на залізобетонний колодязь (1800х600х400), труби від </w:t>
            </w:r>
            <w:proofErr w:type="spellStart"/>
            <w:r w:rsidRPr="00A3261C">
              <w:rPr>
                <w:sz w:val="24"/>
                <w:szCs w:val="24"/>
              </w:rPr>
              <w:t>зливоприймачів</w:t>
            </w:r>
            <w:proofErr w:type="spellEnd"/>
            <w:r w:rsidRPr="00A3261C">
              <w:rPr>
                <w:sz w:val="24"/>
                <w:szCs w:val="24"/>
              </w:rPr>
              <w:t xml:space="preserve"> не менше ніж Д-300 мм;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оглядові колодязі залізобетонні круглі Д -1000мм, Д-1500 м, Д-2000 мм (в залежності від діаметру труб), люки чавуні тип «Т» (важкі), відстань між колодязями згідно розрахунку;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використання труб пластикових діаметрами згідно розрахунків, врахувати глибину прокладання;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за потреби передбачити облаштування насосної станції з </w:t>
            </w:r>
            <w:proofErr w:type="spellStart"/>
            <w:r w:rsidRPr="00A3261C">
              <w:rPr>
                <w:sz w:val="24"/>
                <w:szCs w:val="24"/>
              </w:rPr>
              <w:t>піскозатримувачем</w:t>
            </w:r>
            <w:proofErr w:type="spellEnd"/>
            <w:r w:rsidRPr="00A3261C">
              <w:rPr>
                <w:sz w:val="24"/>
                <w:szCs w:val="24"/>
              </w:rPr>
              <w:t xml:space="preserve">, перед насосною станцією </w:t>
            </w:r>
            <w:proofErr w:type="spellStart"/>
            <w:r w:rsidRPr="00A3261C">
              <w:rPr>
                <w:sz w:val="24"/>
                <w:szCs w:val="24"/>
              </w:rPr>
              <w:t>запроєктувати</w:t>
            </w:r>
            <w:proofErr w:type="spellEnd"/>
            <w:r w:rsidRPr="00A3261C">
              <w:rPr>
                <w:sz w:val="24"/>
                <w:szCs w:val="24"/>
              </w:rPr>
              <w:t xml:space="preserve"> </w:t>
            </w:r>
            <w:proofErr w:type="spellStart"/>
            <w:r w:rsidRPr="00A3261C">
              <w:rPr>
                <w:sz w:val="24"/>
                <w:szCs w:val="24"/>
              </w:rPr>
              <w:t>відсікаючу</w:t>
            </w:r>
            <w:proofErr w:type="spellEnd"/>
            <w:r w:rsidRPr="00A3261C">
              <w:rPr>
                <w:sz w:val="24"/>
                <w:szCs w:val="24"/>
              </w:rPr>
              <w:t xml:space="preserve"> засувку;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колодязь герметичний Д- 2000 мм;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w:t>
            </w:r>
            <w:proofErr w:type="spellStart"/>
            <w:r w:rsidRPr="00A3261C">
              <w:rPr>
                <w:sz w:val="24"/>
                <w:szCs w:val="24"/>
              </w:rPr>
              <w:t>проєктом</w:t>
            </w:r>
            <w:proofErr w:type="spellEnd"/>
            <w:r w:rsidRPr="00A3261C">
              <w:rPr>
                <w:sz w:val="24"/>
                <w:szCs w:val="24"/>
              </w:rPr>
              <w:t xml:space="preserve"> 2 напірних колектори (робочій та резервний), камеру гасіння та підключення у відритий водостік колектора №13; </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sym w:font="Symbol" w:char="F02D"/>
            </w:r>
            <w:r w:rsidRPr="00A3261C">
              <w:rPr>
                <w:sz w:val="24"/>
                <w:szCs w:val="24"/>
              </w:rPr>
              <w:t xml:space="preserve"> передбачити </w:t>
            </w:r>
            <w:proofErr w:type="spellStart"/>
            <w:r w:rsidRPr="00A3261C">
              <w:rPr>
                <w:sz w:val="24"/>
                <w:szCs w:val="24"/>
              </w:rPr>
              <w:t>проєктом</w:t>
            </w:r>
            <w:proofErr w:type="spellEnd"/>
            <w:r w:rsidRPr="00A3261C">
              <w:rPr>
                <w:sz w:val="24"/>
                <w:szCs w:val="24"/>
              </w:rPr>
              <w:t xml:space="preserve"> заглиблення відкритого зливостоку №13 до річки Південний Буг;</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xml:space="preserve">– передбачити </w:t>
            </w:r>
            <w:proofErr w:type="spellStart"/>
            <w:r w:rsidRPr="00A3261C">
              <w:rPr>
                <w:sz w:val="24"/>
                <w:szCs w:val="24"/>
              </w:rPr>
              <w:t>проєктом</w:t>
            </w:r>
            <w:proofErr w:type="spellEnd"/>
            <w:r w:rsidRPr="00A3261C">
              <w:rPr>
                <w:sz w:val="24"/>
                <w:szCs w:val="24"/>
              </w:rPr>
              <w:t xml:space="preserve"> відновлення всіх об’єктів благоустрою, що знаходяться у межах виконання робіт;</w:t>
            </w:r>
          </w:p>
          <w:p w:rsidR="00A3261C" w:rsidRPr="00A3261C" w:rsidRDefault="00A3261C" w:rsidP="00A3261C">
            <w:pPr>
              <w:pStyle w:val="TableParagraph"/>
              <w:numPr>
                <w:ilvl w:val="0"/>
                <w:numId w:val="44"/>
              </w:numPr>
              <w:tabs>
                <w:tab w:val="left" w:pos="248"/>
                <w:tab w:val="left" w:pos="5345"/>
              </w:tabs>
              <w:ind w:right="136"/>
              <w:rPr>
                <w:sz w:val="24"/>
                <w:szCs w:val="24"/>
              </w:rPr>
            </w:pPr>
            <w:r w:rsidRPr="00A3261C">
              <w:rPr>
                <w:sz w:val="24"/>
                <w:szCs w:val="24"/>
              </w:rPr>
              <w:t xml:space="preserve">– передбачити </w:t>
            </w:r>
            <w:proofErr w:type="spellStart"/>
            <w:r w:rsidRPr="00A3261C">
              <w:rPr>
                <w:sz w:val="24"/>
                <w:szCs w:val="24"/>
              </w:rPr>
              <w:t>проєктом</w:t>
            </w:r>
            <w:proofErr w:type="spellEnd"/>
            <w:r w:rsidRPr="00A3261C">
              <w:rPr>
                <w:sz w:val="24"/>
                <w:szCs w:val="24"/>
              </w:rPr>
              <w:t xml:space="preserve"> відновлення зелених насаджень, які можуть бути пошкоджені / знесенні при виконанні земельних робіт.</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13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52"/>
              <w:rPr>
                <w:sz w:val="24"/>
                <w:szCs w:val="24"/>
              </w:rPr>
            </w:pPr>
            <w:r w:rsidRPr="00A3261C">
              <w:rPr>
                <w:sz w:val="24"/>
                <w:szCs w:val="24"/>
              </w:rPr>
              <w:t>Черговість будівництва, необхідність виділення пускових</w:t>
            </w:r>
          </w:p>
          <w:p w:rsidR="00A3261C" w:rsidRPr="00A3261C" w:rsidRDefault="00A3261C" w:rsidP="00A3261C">
            <w:pPr>
              <w:pStyle w:val="TableParagraph"/>
              <w:ind w:left="108"/>
              <w:rPr>
                <w:sz w:val="24"/>
                <w:szCs w:val="24"/>
              </w:rPr>
            </w:pPr>
            <w:r w:rsidRPr="00A3261C">
              <w:rPr>
                <w:sz w:val="24"/>
                <w:szCs w:val="24"/>
              </w:rPr>
              <w:t>комплексів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Без виділення черг та пускових комплексів</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07"/>
              <w:rPr>
                <w:sz w:val="24"/>
                <w:szCs w:val="24"/>
              </w:rPr>
            </w:pPr>
            <w:r w:rsidRPr="00A3261C">
              <w:rPr>
                <w:sz w:val="24"/>
                <w:szCs w:val="24"/>
              </w:rPr>
              <w:t>Клас наслідків (відповідальності) та розрахунковий строк експлуатації об’єкта, основних конструктивних і технологічних</w:t>
            </w:r>
          </w:p>
          <w:p w:rsidR="00A3261C" w:rsidRPr="00A3261C" w:rsidRDefault="00A3261C" w:rsidP="00A3261C">
            <w:pPr>
              <w:pStyle w:val="TableParagraph"/>
              <w:ind w:left="108"/>
              <w:rPr>
                <w:sz w:val="24"/>
                <w:szCs w:val="24"/>
              </w:rPr>
            </w:pPr>
            <w:r w:rsidRPr="00A3261C">
              <w:rPr>
                <w:sz w:val="24"/>
                <w:szCs w:val="24"/>
              </w:rPr>
              <w:t>рішень</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251"/>
              <w:rPr>
                <w:sz w:val="24"/>
                <w:szCs w:val="24"/>
              </w:rPr>
            </w:pPr>
            <w:r w:rsidRPr="00A3261C">
              <w:rPr>
                <w:sz w:val="24"/>
                <w:szCs w:val="24"/>
              </w:rPr>
              <w:t xml:space="preserve">Об’єкт попередньо відноситься до класу наслідків – СС1. Остаточні дані – згідно розрахунку, виконаного під час </w:t>
            </w:r>
            <w:proofErr w:type="spellStart"/>
            <w:r w:rsidRPr="00A3261C">
              <w:rPr>
                <w:sz w:val="24"/>
                <w:szCs w:val="24"/>
              </w:rPr>
              <w:t>проєктування</w:t>
            </w:r>
            <w:proofErr w:type="spellEnd"/>
            <w:r w:rsidRPr="00A3261C">
              <w:rPr>
                <w:sz w:val="24"/>
                <w:szCs w:val="24"/>
              </w:rPr>
              <w:t>.</w:t>
            </w:r>
          </w:p>
        </w:tc>
      </w:tr>
      <w:tr w:rsidR="00A3261C" w:rsidRPr="00A3261C" w:rsidTr="00A3261C">
        <w:trPr>
          <w:trHeight w:val="275"/>
        </w:trPr>
        <w:tc>
          <w:tcPr>
            <w:tcW w:w="828" w:type="dxa"/>
            <w:vMerge w:val="restart"/>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274" w:right="264"/>
              <w:jc w:val="center"/>
              <w:rPr>
                <w:sz w:val="24"/>
                <w:szCs w:val="24"/>
              </w:rPr>
            </w:pPr>
            <w:r w:rsidRPr="00A3261C">
              <w:rPr>
                <w:sz w:val="24"/>
                <w:szCs w:val="24"/>
              </w:rPr>
              <w:t>15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Вказівки про необхідність:</w:t>
            </w:r>
          </w:p>
        </w:tc>
        <w:tc>
          <w:tcPr>
            <w:tcW w:w="5345"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ind w:left="0"/>
              <w:rPr>
                <w:sz w:val="24"/>
                <w:szCs w:val="24"/>
              </w:rPr>
            </w:pPr>
          </w:p>
        </w:tc>
      </w:tr>
      <w:tr w:rsidR="00A3261C" w:rsidRPr="00A3261C" w:rsidTr="00A3261C">
        <w:trPr>
          <w:trHeight w:val="55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розроблення індивідуальних</w:t>
            </w:r>
          </w:p>
          <w:p w:rsidR="00A3261C" w:rsidRPr="00A3261C" w:rsidRDefault="00A3261C" w:rsidP="00A3261C">
            <w:pPr>
              <w:pStyle w:val="TableParagraph"/>
              <w:ind w:left="108"/>
              <w:rPr>
                <w:sz w:val="24"/>
                <w:szCs w:val="24"/>
              </w:rPr>
            </w:pPr>
            <w:r w:rsidRPr="00A3261C">
              <w:rPr>
                <w:sz w:val="24"/>
                <w:szCs w:val="24"/>
              </w:rPr>
              <w:t>технічних умов;</w:t>
            </w:r>
          </w:p>
        </w:tc>
        <w:tc>
          <w:tcPr>
            <w:tcW w:w="5345" w:type="dxa"/>
            <w:tcBorders>
              <w:top w:val="single" w:sz="4" w:space="0" w:color="000000"/>
              <w:left w:val="single" w:sz="4" w:space="0" w:color="000000"/>
              <w:bottom w:val="single" w:sz="4" w:space="0" w:color="000000"/>
              <w:right w:val="single" w:sz="4" w:space="0" w:color="000000"/>
            </w:tcBorders>
          </w:tcPr>
          <w:p w:rsidR="00A3261C" w:rsidRPr="00A3261C" w:rsidRDefault="00A3261C" w:rsidP="00A3261C">
            <w:pPr>
              <w:pStyle w:val="TableParagraph"/>
              <w:rPr>
                <w:sz w:val="24"/>
                <w:szCs w:val="24"/>
              </w:rPr>
            </w:pPr>
            <w:r w:rsidRPr="00A3261C">
              <w:rPr>
                <w:sz w:val="24"/>
                <w:szCs w:val="24"/>
              </w:rPr>
              <w:t>Не вимагається</w:t>
            </w:r>
          </w:p>
          <w:p w:rsidR="00A3261C" w:rsidRPr="00A3261C" w:rsidRDefault="00A3261C" w:rsidP="00A3261C">
            <w:pPr>
              <w:pStyle w:val="TableParagraph"/>
              <w:ind w:left="0"/>
              <w:rPr>
                <w:b/>
                <w:sz w:val="24"/>
                <w:szCs w:val="24"/>
              </w:rPr>
            </w:pPr>
          </w:p>
        </w:tc>
      </w:tr>
      <w:tr w:rsidR="00A3261C" w:rsidRPr="00A3261C" w:rsidTr="00A3261C">
        <w:trPr>
          <w:trHeight w:val="827"/>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57"/>
              <w:rPr>
                <w:sz w:val="24"/>
                <w:szCs w:val="24"/>
              </w:rPr>
            </w:pPr>
            <w:r w:rsidRPr="00A3261C">
              <w:rPr>
                <w:sz w:val="24"/>
                <w:szCs w:val="24"/>
              </w:rPr>
              <w:t xml:space="preserve">розроблення окремих </w:t>
            </w:r>
            <w:proofErr w:type="spellStart"/>
            <w:r w:rsidRPr="00A3261C">
              <w:rPr>
                <w:sz w:val="24"/>
                <w:szCs w:val="24"/>
              </w:rPr>
              <w:t>проєктних</w:t>
            </w:r>
            <w:proofErr w:type="spellEnd"/>
            <w:r w:rsidRPr="00A3261C">
              <w:rPr>
                <w:sz w:val="24"/>
                <w:szCs w:val="24"/>
              </w:rPr>
              <w:t xml:space="preserve"> рішень в декількох варіантах і на</w:t>
            </w:r>
          </w:p>
          <w:p w:rsidR="00A3261C" w:rsidRPr="00A3261C" w:rsidRDefault="00A3261C" w:rsidP="00A3261C">
            <w:pPr>
              <w:pStyle w:val="TableParagraph"/>
              <w:ind w:left="108"/>
              <w:rPr>
                <w:sz w:val="24"/>
                <w:szCs w:val="24"/>
              </w:rPr>
            </w:pPr>
            <w:r w:rsidRPr="00A3261C">
              <w:rPr>
                <w:sz w:val="24"/>
                <w:szCs w:val="24"/>
              </w:rPr>
              <w:t>конкурсних засадах;</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За потреби</w:t>
            </w:r>
          </w:p>
        </w:tc>
      </w:tr>
      <w:tr w:rsidR="00A3261C" w:rsidRPr="00A3261C" w:rsidTr="00A3261C">
        <w:trPr>
          <w:trHeight w:val="55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 xml:space="preserve">попередні узгодження </w:t>
            </w:r>
            <w:proofErr w:type="spellStart"/>
            <w:r w:rsidRPr="00A3261C">
              <w:rPr>
                <w:sz w:val="24"/>
                <w:szCs w:val="24"/>
              </w:rPr>
              <w:t>проєктних</w:t>
            </w:r>
            <w:proofErr w:type="spellEnd"/>
          </w:p>
          <w:p w:rsidR="00A3261C" w:rsidRPr="00A3261C" w:rsidRDefault="00A3261C" w:rsidP="00A3261C">
            <w:pPr>
              <w:pStyle w:val="TableParagraph"/>
              <w:ind w:left="108"/>
              <w:rPr>
                <w:sz w:val="24"/>
                <w:szCs w:val="24"/>
              </w:rPr>
            </w:pPr>
            <w:r w:rsidRPr="00A3261C">
              <w:rPr>
                <w:sz w:val="24"/>
                <w:szCs w:val="24"/>
              </w:rPr>
              <w:t>рішень;</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Попереднє погодження:</w:t>
            </w:r>
          </w:p>
          <w:p w:rsidR="00A3261C" w:rsidRPr="00A3261C" w:rsidRDefault="00A3261C" w:rsidP="00A3261C">
            <w:pPr>
              <w:pStyle w:val="TableParagraph"/>
              <w:rPr>
                <w:sz w:val="24"/>
                <w:szCs w:val="24"/>
              </w:rPr>
            </w:pPr>
            <w:r w:rsidRPr="00A3261C">
              <w:rPr>
                <w:sz w:val="24"/>
                <w:szCs w:val="24"/>
              </w:rPr>
              <w:t xml:space="preserve">1) </w:t>
            </w:r>
            <w:proofErr w:type="spellStart"/>
            <w:r w:rsidRPr="00A3261C">
              <w:rPr>
                <w:sz w:val="24"/>
                <w:szCs w:val="24"/>
              </w:rPr>
              <w:t>проєктних</w:t>
            </w:r>
            <w:proofErr w:type="spellEnd"/>
            <w:r w:rsidRPr="00A3261C">
              <w:rPr>
                <w:sz w:val="24"/>
                <w:szCs w:val="24"/>
              </w:rPr>
              <w:t xml:space="preserve"> робіт (</w:t>
            </w:r>
            <w:proofErr w:type="spellStart"/>
            <w:r w:rsidRPr="00A3261C">
              <w:rPr>
                <w:sz w:val="24"/>
                <w:szCs w:val="24"/>
              </w:rPr>
              <w:t>проєктної</w:t>
            </w:r>
            <w:proofErr w:type="spellEnd"/>
            <w:r w:rsidRPr="00A3261C">
              <w:rPr>
                <w:sz w:val="24"/>
                <w:szCs w:val="24"/>
              </w:rPr>
              <w:t xml:space="preserve"> документації) з Замовником та з уповноваженим органом з питань містобудування та архітектури Миколаївської міської ради – Департаментом архітектури та містобудування Миколаївської міської ради відповідно до «Порядку погодження </w:t>
            </w:r>
            <w:proofErr w:type="spellStart"/>
            <w:r w:rsidRPr="00A3261C">
              <w:rPr>
                <w:sz w:val="24"/>
                <w:szCs w:val="24"/>
              </w:rPr>
              <w:t>проєкту</w:t>
            </w:r>
            <w:proofErr w:type="spellEnd"/>
            <w:r w:rsidRPr="00A3261C">
              <w:rPr>
                <w:sz w:val="24"/>
                <w:szCs w:val="24"/>
              </w:rPr>
              <w:t xml:space="preserve"> завдання на </w:t>
            </w:r>
            <w:proofErr w:type="spellStart"/>
            <w:r w:rsidRPr="00A3261C">
              <w:rPr>
                <w:sz w:val="24"/>
                <w:szCs w:val="24"/>
              </w:rPr>
              <w:t>проєктування</w:t>
            </w:r>
            <w:proofErr w:type="spellEnd"/>
            <w:r w:rsidRPr="00A3261C">
              <w:rPr>
                <w:sz w:val="24"/>
                <w:szCs w:val="24"/>
              </w:rPr>
              <w:t xml:space="preserve"> на розроблення об’єктів будівництва та об’єктів міського середовища, а також результатів </w:t>
            </w:r>
            <w:proofErr w:type="spellStart"/>
            <w:r w:rsidRPr="00A3261C">
              <w:rPr>
                <w:sz w:val="24"/>
                <w:szCs w:val="24"/>
              </w:rPr>
              <w:t>проєктних</w:t>
            </w:r>
            <w:proofErr w:type="spellEnd"/>
            <w:r w:rsidRPr="00A3261C">
              <w:rPr>
                <w:sz w:val="24"/>
                <w:szCs w:val="24"/>
              </w:rPr>
              <w:t xml:space="preserve"> робіт за такими завданнями </w:t>
            </w:r>
            <w:r w:rsidRPr="00A3261C">
              <w:rPr>
                <w:sz w:val="24"/>
                <w:szCs w:val="24"/>
              </w:rPr>
              <w:lastRenderedPageBreak/>
              <w:t>уповноваженим органом містобудування та архітектури, реалізація яких здійснюється за кошти територіальної громади міста Миколаєва», затвердженого рішенням виконавчого комітету Миколаївської міської ради від 08.02.2023 № 40;</w:t>
            </w:r>
          </w:p>
          <w:p w:rsidR="00A3261C" w:rsidRPr="00A3261C" w:rsidRDefault="00A3261C" w:rsidP="00A3261C">
            <w:pPr>
              <w:pStyle w:val="TableParagraph"/>
              <w:rPr>
                <w:sz w:val="24"/>
                <w:szCs w:val="24"/>
              </w:rPr>
            </w:pPr>
            <w:r w:rsidRPr="00A3261C">
              <w:rPr>
                <w:sz w:val="24"/>
                <w:szCs w:val="24"/>
              </w:rPr>
              <w:t xml:space="preserve">2) </w:t>
            </w:r>
            <w:proofErr w:type="spellStart"/>
            <w:r w:rsidRPr="00A3261C">
              <w:rPr>
                <w:sz w:val="24"/>
                <w:szCs w:val="24"/>
              </w:rPr>
              <w:t>проєктних</w:t>
            </w:r>
            <w:proofErr w:type="spellEnd"/>
            <w:r w:rsidRPr="00A3261C">
              <w:rPr>
                <w:sz w:val="24"/>
                <w:szCs w:val="24"/>
              </w:rPr>
              <w:t xml:space="preserve"> рішень з перевлаштування інженерних мереж з </w:t>
            </w:r>
            <w:proofErr w:type="spellStart"/>
            <w:r w:rsidRPr="00A3261C">
              <w:rPr>
                <w:sz w:val="24"/>
                <w:szCs w:val="24"/>
              </w:rPr>
              <w:t>організаціями-балансоутримувачами</w:t>
            </w:r>
            <w:proofErr w:type="spellEnd"/>
            <w:r w:rsidRPr="00A3261C">
              <w:rPr>
                <w:sz w:val="24"/>
                <w:szCs w:val="24"/>
              </w:rPr>
              <w:t xml:space="preserve"> інженерних комунікацій, відповідно до наданих ними технічних умов або завдань на </w:t>
            </w:r>
            <w:proofErr w:type="spellStart"/>
            <w:r w:rsidRPr="00A3261C">
              <w:rPr>
                <w:sz w:val="24"/>
                <w:szCs w:val="24"/>
              </w:rPr>
              <w:t>проєктування</w:t>
            </w:r>
            <w:proofErr w:type="spellEnd"/>
            <w:r w:rsidRPr="00A3261C">
              <w:rPr>
                <w:sz w:val="24"/>
                <w:szCs w:val="24"/>
              </w:rPr>
              <w:t>.</w:t>
            </w:r>
          </w:p>
        </w:tc>
      </w:tr>
      <w:tr w:rsidR="00A3261C" w:rsidRPr="00A3261C" w:rsidTr="00A3261C">
        <w:trPr>
          <w:trHeight w:val="827"/>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608"/>
              <w:rPr>
                <w:sz w:val="24"/>
                <w:szCs w:val="24"/>
              </w:rPr>
            </w:pPr>
            <w:r w:rsidRPr="00A3261C">
              <w:rPr>
                <w:sz w:val="24"/>
                <w:szCs w:val="24"/>
              </w:rPr>
              <w:t>виконання демонстраційних матеріалів, макетів і креслень</w:t>
            </w:r>
          </w:p>
          <w:p w:rsidR="00A3261C" w:rsidRPr="00A3261C" w:rsidRDefault="00A3261C" w:rsidP="00A3261C">
            <w:pPr>
              <w:pStyle w:val="TableParagraph"/>
              <w:ind w:left="108"/>
              <w:rPr>
                <w:sz w:val="24"/>
                <w:szCs w:val="24"/>
              </w:rPr>
            </w:pPr>
            <w:r w:rsidRPr="00A3261C">
              <w:rPr>
                <w:sz w:val="24"/>
                <w:szCs w:val="24"/>
              </w:rPr>
              <w:t>інтер’єрів, їх зміст та форма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140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18"/>
              <w:rPr>
                <w:sz w:val="24"/>
                <w:szCs w:val="24"/>
              </w:rPr>
            </w:pPr>
            <w:r w:rsidRPr="00A3261C">
              <w:rPr>
                <w:sz w:val="24"/>
                <w:szCs w:val="24"/>
              </w:rPr>
              <w:t xml:space="preserve">виконання науково-дослідних і дослідницько-експериментальних робіт у процесі будівництва та </w:t>
            </w:r>
            <w:r w:rsidRPr="00A3261C">
              <w:rPr>
                <w:spacing w:val="-1"/>
                <w:sz w:val="24"/>
                <w:szCs w:val="24"/>
              </w:rPr>
              <w:t xml:space="preserve">проектування, </w:t>
            </w:r>
            <w:r w:rsidRPr="00A3261C">
              <w:rPr>
                <w:sz w:val="24"/>
                <w:szCs w:val="24"/>
              </w:rPr>
              <w:t>науково-технічного супроводу;</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311"/>
        </w:trPr>
        <w:tc>
          <w:tcPr>
            <w:tcW w:w="828" w:type="dxa"/>
            <w:vMerge/>
            <w:tcBorders>
              <w:top w:val="single" w:sz="4" w:space="0" w:color="000000"/>
              <w:left w:val="single" w:sz="4" w:space="0" w:color="000000"/>
              <w:bottom w:val="single" w:sz="4" w:space="0" w:color="000000"/>
              <w:right w:val="single" w:sz="4" w:space="0" w:color="000000"/>
            </w:tcBorders>
            <w:vAlign w:val="center"/>
            <w:hideMark/>
          </w:tcPr>
          <w:p w:rsidR="00A3261C" w:rsidRPr="00A3261C" w:rsidRDefault="00A3261C" w:rsidP="00A3261C">
            <w:pPr>
              <w:widowControl/>
              <w:autoSpaceDE/>
              <w:autoSpaceDN/>
              <w:rPr>
                <w:rFonts w:ascii="Times New Roman" w:eastAsia="Times New Roman" w:hAnsi="Times New Roman"/>
                <w:sz w:val="24"/>
                <w:szCs w:val="24"/>
                <w:lang w:val="uk-UA"/>
              </w:rPr>
            </w:pP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технічного захисту інформації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362"/>
              <w:rPr>
                <w:sz w:val="24"/>
                <w:szCs w:val="24"/>
              </w:rPr>
            </w:pPr>
            <w:r w:rsidRPr="00A3261C">
              <w:rPr>
                <w:sz w:val="24"/>
                <w:szCs w:val="24"/>
              </w:rPr>
              <w:t>Вимоги до інженерного захисту територій і захисту будівель і споруд від небезпечних природних чи техногенних</w:t>
            </w:r>
          </w:p>
          <w:p w:rsidR="00A3261C" w:rsidRPr="00A3261C" w:rsidRDefault="00A3261C" w:rsidP="00A3261C">
            <w:pPr>
              <w:pStyle w:val="TableParagraph"/>
              <w:ind w:left="108"/>
              <w:rPr>
                <w:sz w:val="24"/>
                <w:szCs w:val="24"/>
              </w:rPr>
            </w:pPr>
            <w:r w:rsidRPr="00A3261C">
              <w:rPr>
                <w:sz w:val="24"/>
                <w:szCs w:val="24"/>
              </w:rPr>
              <w:t>факторів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Відповідно до діючих норм та правил.</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19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505"/>
              <w:rPr>
                <w:sz w:val="24"/>
                <w:szCs w:val="24"/>
              </w:rPr>
            </w:pPr>
            <w:r w:rsidRPr="00A3261C">
              <w:rPr>
                <w:sz w:val="24"/>
                <w:szCs w:val="24"/>
              </w:rPr>
              <w:t>Вимоги щодо розроблення розділу  “Оцінка впливу на навколишнє середовище” з урахуванням оцінки впливу на</w:t>
            </w:r>
          </w:p>
          <w:p w:rsidR="00A3261C" w:rsidRPr="00A3261C" w:rsidRDefault="00A3261C" w:rsidP="00A3261C">
            <w:pPr>
              <w:pStyle w:val="TableParagraph"/>
              <w:ind w:left="108"/>
              <w:rPr>
                <w:sz w:val="24"/>
                <w:szCs w:val="24"/>
              </w:rPr>
            </w:pPr>
            <w:r w:rsidRPr="00A3261C">
              <w:rPr>
                <w:sz w:val="24"/>
                <w:szCs w:val="24"/>
              </w:rPr>
              <w:t>довкілля (за наявності).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У відповідності з:</w:t>
            </w:r>
          </w:p>
          <w:p w:rsidR="00A3261C" w:rsidRPr="00A3261C" w:rsidRDefault="00A3261C" w:rsidP="00A3261C">
            <w:pPr>
              <w:pStyle w:val="TableParagraph"/>
              <w:rPr>
                <w:sz w:val="24"/>
                <w:szCs w:val="24"/>
              </w:rPr>
            </w:pPr>
            <w:r w:rsidRPr="00A3261C">
              <w:rPr>
                <w:sz w:val="24"/>
                <w:szCs w:val="24"/>
              </w:rPr>
              <w:t>1. ДБН А2.2.2-1:2021 «Склад і зміст матеріалів оцінки впливів на навколишнє середовище (ОВНС)».</w:t>
            </w:r>
          </w:p>
          <w:p w:rsidR="00A3261C" w:rsidRPr="00A3261C" w:rsidRDefault="00A3261C" w:rsidP="00A3261C">
            <w:pPr>
              <w:pStyle w:val="TableParagraph"/>
              <w:rPr>
                <w:sz w:val="24"/>
                <w:szCs w:val="24"/>
              </w:rPr>
            </w:pPr>
            <w:r w:rsidRPr="00A3261C">
              <w:rPr>
                <w:sz w:val="24"/>
                <w:szCs w:val="24"/>
              </w:rPr>
              <w:t xml:space="preserve">Розробити окремим розділом </w:t>
            </w:r>
            <w:proofErr w:type="spellStart"/>
            <w:r w:rsidRPr="00A3261C">
              <w:rPr>
                <w:sz w:val="24"/>
                <w:szCs w:val="24"/>
              </w:rPr>
              <w:t>проєкту</w:t>
            </w:r>
            <w:proofErr w:type="spellEnd"/>
            <w:r w:rsidRPr="00A3261C">
              <w:rPr>
                <w:sz w:val="24"/>
                <w:szCs w:val="24"/>
              </w:rPr>
              <w:t>.</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з енергозбереження та</w:t>
            </w:r>
          </w:p>
          <w:p w:rsidR="00A3261C" w:rsidRPr="00A3261C" w:rsidRDefault="00A3261C" w:rsidP="00A3261C">
            <w:pPr>
              <w:pStyle w:val="TableParagraph"/>
              <w:ind w:left="108"/>
              <w:rPr>
                <w:sz w:val="24"/>
                <w:szCs w:val="24"/>
              </w:rPr>
            </w:pPr>
            <w:r w:rsidRPr="00A3261C">
              <w:rPr>
                <w:sz w:val="24"/>
                <w:szCs w:val="24"/>
              </w:rPr>
              <w:t>енергоефективності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вимагається</w:t>
            </w:r>
          </w:p>
        </w:tc>
      </w:tr>
      <w:tr w:rsidR="00A3261C" w:rsidRPr="00A3261C" w:rsidTr="00A3261C">
        <w:trPr>
          <w:trHeight w:val="827"/>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714"/>
              <w:rPr>
                <w:sz w:val="24"/>
                <w:szCs w:val="24"/>
              </w:rPr>
            </w:pPr>
            <w:r w:rsidRPr="00A3261C">
              <w:rPr>
                <w:sz w:val="24"/>
                <w:szCs w:val="24"/>
              </w:rPr>
              <w:t>Дані про технології і (або) науково-дослідні роботи, які</w:t>
            </w:r>
          </w:p>
          <w:p w:rsidR="00A3261C" w:rsidRPr="00A3261C" w:rsidRDefault="00A3261C" w:rsidP="00A3261C">
            <w:pPr>
              <w:pStyle w:val="TableParagraph"/>
              <w:ind w:left="108"/>
              <w:rPr>
                <w:sz w:val="24"/>
                <w:szCs w:val="24"/>
              </w:rPr>
            </w:pPr>
            <w:r w:rsidRPr="00A3261C">
              <w:rPr>
                <w:sz w:val="24"/>
                <w:szCs w:val="24"/>
              </w:rPr>
              <w:t>пропонує застосувати замовник</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режиму безпеки та</w:t>
            </w:r>
          </w:p>
          <w:p w:rsidR="00A3261C" w:rsidRPr="00A3261C" w:rsidRDefault="00A3261C" w:rsidP="00A3261C">
            <w:pPr>
              <w:pStyle w:val="TableParagraph"/>
              <w:ind w:left="108"/>
              <w:rPr>
                <w:sz w:val="24"/>
                <w:szCs w:val="24"/>
              </w:rPr>
            </w:pPr>
            <w:r w:rsidRPr="00A3261C">
              <w:rPr>
                <w:sz w:val="24"/>
                <w:szCs w:val="24"/>
              </w:rPr>
              <w:t>охорони праці.</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979"/>
                <w:tab w:val="left" w:pos="1670"/>
                <w:tab w:val="left" w:pos="3179"/>
                <w:tab w:val="left" w:pos="4404"/>
                <w:tab w:val="left" w:pos="5170"/>
              </w:tabs>
              <w:rPr>
                <w:sz w:val="24"/>
                <w:szCs w:val="24"/>
              </w:rPr>
            </w:pPr>
            <w:r w:rsidRPr="00A3261C">
              <w:rPr>
                <w:sz w:val="24"/>
                <w:szCs w:val="24"/>
              </w:rPr>
              <w:t>Відповідно до норм чинного законодавства та діючих будівельних норм.</w:t>
            </w:r>
          </w:p>
        </w:tc>
      </w:tr>
      <w:tr w:rsidR="00A3261C" w:rsidRPr="00A3261C" w:rsidTr="00A3261C">
        <w:trPr>
          <w:trHeight w:val="1103"/>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656"/>
              <w:rPr>
                <w:sz w:val="24"/>
                <w:szCs w:val="24"/>
              </w:rPr>
            </w:pPr>
            <w:r w:rsidRPr="00A3261C">
              <w:rPr>
                <w:sz w:val="24"/>
                <w:szCs w:val="24"/>
              </w:rPr>
              <w:t>Вимоги щодо розроблення розділу інженерно-технічних</w:t>
            </w:r>
          </w:p>
          <w:p w:rsidR="00A3261C" w:rsidRPr="00A3261C" w:rsidRDefault="00A3261C" w:rsidP="00A3261C">
            <w:pPr>
              <w:pStyle w:val="TableParagraph"/>
              <w:ind w:left="108" w:right="864"/>
              <w:rPr>
                <w:sz w:val="24"/>
                <w:szCs w:val="24"/>
              </w:rPr>
            </w:pPr>
            <w:r w:rsidRPr="00A3261C">
              <w:rPr>
                <w:sz w:val="24"/>
                <w:szCs w:val="24"/>
              </w:rPr>
              <w:t>заходів цивільного захисту (цивільної оборони)</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1750"/>
                <w:tab w:val="left" w:pos="2240"/>
                <w:tab w:val="left" w:pos="3099"/>
                <w:tab w:val="left" w:pos="4101"/>
                <w:tab w:val="left" w:pos="4462"/>
              </w:tabs>
              <w:ind w:right="95"/>
              <w:rPr>
                <w:sz w:val="24"/>
                <w:szCs w:val="24"/>
              </w:rPr>
            </w:pPr>
            <w:r w:rsidRPr="00A3261C">
              <w:rPr>
                <w:sz w:val="24"/>
                <w:szCs w:val="24"/>
              </w:rPr>
              <w:t>Відповідно</w:t>
            </w:r>
            <w:r w:rsidRPr="00A3261C">
              <w:rPr>
                <w:sz w:val="24"/>
                <w:szCs w:val="24"/>
              </w:rPr>
              <w:tab/>
              <w:t>до</w:t>
            </w:r>
            <w:r w:rsidRPr="00A3261C">
              <w:rPr>
                <w:sz w:val="24"/>
                <w:szCs w:val="24"/>
              </w:rPr>
              <w:tab/>
              <w:t>вимог</w:t>
            </w:r>
            <w:r w:rsidRPr="00A3261C">
              <w:rPr>
                <w:sz w:val="24"/>
                <w:szCs w:val="24"/>
              </w:rPr>
              <w:tab/>
              <w:t>чинних</w:t>
            </w:r>
            <w:r w:rsidRPr="00A3261C">
              <w:rPr>
                <w:sz w:val="24"/>
                <w:szCs w:val="24"/>
              </w:rPr>
              <w:tab/>
              <w:t>в</w:t>
            </w:r>
            <w:r w:rsidRPr="00A3261C">
              <w:rPr>
                <w:sz w:val="24"/>
                <w:szCs w:val="24"/>
              </w:rPr>
              <w:tab/>
            </w:r>
            <w:r w:rsidRPr="00A3261C">
              <w:rPr>
                <w:spacing w:val="-1"/>
                <w:sz w:val="24"/>
                <w:szCs w:val="24"/>
              </w:rPr>
              <w:t xml:space="preserve">Україні </w:t>
            </w:r>
            <w:r w:rsidRPr="00A3261C">
              <w:rPr>
                <w:sz w:val="24"/>
                <w:szCs w:val="24"/>
              </w:rPr>
              <w:t>нормативних документів.</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24</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з пожежної безпеки</w:t>
            </w:r>
          </w:p>
          <w:p w:rsidR="00A3261C" w:rsidRPr="00A3261C" w:rsidRDefault="00A3261C" w:rsidP="00A3261C">
            <w:pPr>
              <w:pStyle w:val="TableParagraph"/>
              <w:ind w:left="108"/>
              <w:rPr>
                <w:sz w:val="24"/>
                <w:szCs w:val="24"/>
              </w:rPr>
            </w:pPr>
            <w:r w:rsidRPr="00A3261C">
              <w:rPr>
                <w:sz w:val="24"/>
                <w:szCs w:val="24"/>
              </w:rPr>
              <w:t>об’єкта</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Відсутні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25</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розроблення</w:t>
            </w:r>
          </w:p>
          <w:p w:rsidR="00A3261C" w:rsidRPr="00A3261C" w:rsidRDefault="00A3261C" w:rsidP="00A3261C">
            <w:pPr>
              <w:pStyle w:val="TableParagraph"/>
              <w:ind w:left="108"/>
              <w:rPr>
                <w:sz w:val="24"/>
                <w:szCs w:val="24"/>
              </w:rPr>
            </w:pPr>
            <w:r w:rsidRPr="00A3261C">
              <w:rPr>
                <w:sz w:val="24"/>
                <w:szCs w:val="24"/>
              </w:rPr>
              <w:t>спеціальних заходів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 xml:space="preserve">Генеральний </w:t>
            </w:r>
            <w:proofErr w:type="spellStart"/>
            <w:r w:rsidRPr="00A3261C">
              <w:rPr>
                <w:sz w:val="24"/>
                <w:szCs w:val="24"/>
              </w:rPr>
              <w:t>проєктувальник</w:t>
            </w:r>
            <w:proofErr w:type="spellEnd"/>
            <w:r w:rsidRPr="00A3261C">
              <w:rPr>
                <w:sz w:val="24"/>
                <w:szCs w:val="24"/>
              </w:rPr>
              <w:t xml:space="preserve"> виконує:</w:t>
            </w:r>
          </w:p>
          <w:p w:rsidR="00A3261C" w:rsidRPr="00A3261C" w:rsidRDefault="00A3261C" w:rsidP="00A3261C">
            <w:pPr>
              <w:pStyle w:val="TableParagraph"/>
              <w:rPr>
                <w:sz w:val="24"/>
                <w:szCs w:val="24"/>
              </w:rPr>
            </w:pPr>
            <w:r w:rsidRPr="00A3261C">
              <w:rPr>
                <w:sz w:val="24"/>
                <w:szCs w:val="24"/>
              </w:rPr>
              <w:t>- отримання всіх необхідних технічних умов;</w:t>
            </w:r>
          </w:p>
          <w:p w:rsidR="00A3261C" w:rsidRPr="00A3261C" w:rsidRDefault="00A3261C" w:rsidP="00A3261C">
            <w:pPr>
              <w:pStyle w:val="TableParagraph"/>
              <w:rPr>
                <w:sz w:val="24"/>
                <w:szCs w:val="24"/>
              </w:rPr>
            </w:pPr>
            <w:r w:rsidRPr="00A3261C">
              <w:rPr>
                <w:sz w:val="24"/>
                <w:szCs w:val="24"/>
              </w:rPr>
              <w:t xml:space="preserve">- розробку зразкової ТСОДР відповідно до розробленого розділу </w:t>
            </w:r>
            <w:proofErr w:type="spellStart"/>
            <w:r w:rsidRPr="00A3261C">
              <w:rPr>
                <w:sz w:val="24"/>
                <w:szCs w:val="24"/>
              </w:rPr>
              <w:t>проєкту</w:t>
            </w:r>
            <w:proofErr w:type="spellEnd"/>
            <w:r w:rsidRPr="00A3261C">
              <w:rPr>
                <w:sz w:val="24"/>
                <w:szCs w:val="24"/>
              </w:rPr>
              <w:t xml:space="preserve"> – ПОБ, без узгодження в контролюючому органі (УПП у Миколаївській області);</w:t>
            </w:r>
          </w:p>
          <w:p w:rsidR="00A3261C" w:rsidRPr="00A3261C" w:rsidRDefault="00A3261C" w:rsidP="00A3261C">
            <w:pPr>
              <w:pStyle w:val="TableParagraph"/>
              <w:rPr>
                <w:sz w:val="24"/>
                <w:szCs w:val="24"/>
              </w:rPr>
            </w:pPr>
            <w:r w:rsidRPr="00A3261C">
              <w:rPr>
                <w:sz w:val="24"/>
                <w:szCs w:val="24"/>
              </w:rPr>
              <w:t xml:space="preserve">- розрахунок кошторисної вартості об'єкта будівництва з врахуванням мінімального рівня цін на матеріально-технічні ресурси по Миколаївській області. Перед проходженням </w:t>
            </w:r>
            <w:r w:rsidRPr="00A3261C">
              <w:rPr>
                <w:sz w:val="24"/>
                <w:szCs w:val="24"/>
              </w:rPr>
              <w:lastRenderedPageBreak/>
              <w:t>експертизи ціни та матеріали узгодити з замовником «Протоколом узгодження цін на матеріальні ресурси»*;</w:t>
            </w:r>
          </w:p>
          <w:p w:rsidR="00A3261C" w:rsidRPr="00A3261C" w:rsidRDefault="00A3261C" w:rsidP="00A3261C">
            <w:pPr>
              <w:pStyle w:val="TableParagraph"/>
              <w:rPr>
                <w:sz w:val="24"/>
                <w:szCs w:val="24"/>
              </w:rPr>
            </w:pPr>
            <w:r w:rsidRPr="00A3261C">
              <w:rPr>
                <w:sz w:val="24"/>
                <w:szCs w:val="24"/>
              </w:rPr>
              <w:t>- враховує в кошторисній документації кошти на:</w:t>
            </w:r>
          </w:p>
          <w:p w:rsidR="00A3261C" w:rsidRPr="00A3261C" w:rsidRDefault="00A3261C" w:rsidP="00A3261C">
            <w:pPr>
              <w:pStyle w:val="TableParagraph"/>
              <w:rPr>
                <w:sz w:val="24"/>
                <w:szCs w:val="24"/>
              </w:rPr>
            </w:pPr>
            <w:r w:rsidRPr="00A3261C">
              <w:rPr>
                <w:sz w:val="24"/>
                <w:szCs w:val="24"/>
              </w:rPr>
              <w:t xml:space="preserve">- оплату праці з урахуванням розміру заробітної плати, яка враховується при визначенні вартості капітального ремонту на стадії складання </w:t>
            </w:r>
            <w:proofErr w:type="spellStart"/>
            <w:r w:rsidRPr="00A3261C">
              <w:rPr>
                <w:sz w:val="24"/>
                <w:szCs w:val="24"/>
              </w:rPr>
              <w:t>інвесторської</w:t>
            </w:r>
            <w:proofErr w:type="spellEnd"/>
            <w:r w:rsidRPr="00A3261C">
              <w:rPr>
                <w:sz w:val="24"/>
                <w:szCs w:val="24"/>
              </w:rPr>
              <w:t xml:space="preserve"> кошторисної документації, прийняти згідно рішення виконавчого комітету Миколаївської міської ради від 26.04.2023 №238 «Про визначення розміру кошторисної заробітної плати у будівництві та поточному ремонті на 2023 рік», на рівні 13 719,93 грн. (або іншого аналогічного рішення, яке може бути прийняте до настання терміну завершення </w:t>
            </w:r>
            <w:proofErr w:type="spellStart"/>
            <w:r w:rsidRPr="00A3261C">
              <w:rPr>
                <w:sz w:val="24"/>
                <w:szCs w:val="24"/>
              </w:rPr>
              <w:t>проєктних</w:t>
            </w:r>
            <w:proofErr w:type="spellEnd"/>
            <w:r w:rsidRPr="00A3261C">
              <w:rPr>
                <w:sz w:val="24"/>
                <w:szCs w:val="24"/>
              </w:rPr>
              <w:t xml:space="preserve"> робіт, на заміну вказаного);</w:t>
            </w:r>
          </w:p>
          <w:p w:rsidR="00A3261C" w:rsidRPr="00A3261C" w:rsidRDefault="00A3261C" w:rsidP="00A3261C">
            <w:pPr>
              <w:pStyle w:val="TableParagraph"/>
              <w:rPr>
                <w:sz w:val="24"/>
                <w:szCs w:val="24"/>
              </w:rPr>
            </w:pPr>
            <w:r w:rsidRPr="00A3261C">
              <w:rPr>
                <w:sz w:val="24"/>
                <w:szCs w:val="24"/>
              </w:rPr>
              <w:t>- покриття додаткових витрат пов'язаних з ризиками всіх учасників будівництва, відповідно до нормативних вимог (2%);</w:t>
            </w:r>
          </w:p>
          <w:p w:rsidR="00A3261C" w:rsidRPr="00A3261C" w:rsidRDefault="00A3261C" w:rsidP="00A3261C">
            <w:pPr>
              <w:pStyle w:val="TableParagraph"/>
              <w:rPr>
                <w:sz w:val="24"/>
                <w:szCs w:val="24"/>
              </w:rPr>
            </w:pPr>
            <w:r w:rsidRPr="00A3261C">
              <w:rPr>
                <w:sz w:val="24"/>
                <w:szCs w:val="24"/>
              </w:rPr>
              <w:t>- утримання служби замовника (1,0 %);</w:t>
            </w:r>
          </w:p>
          <w:p w:rsidR="00A3261C" w:rsidRPr="00A3261C" w:rsidRDefault="00A3261C" w:rsidP="00A3261C">
            <w:pPr>
              <w:pStyle w:val="TableParagraph"/>
              <w:rPr>
                <w:sz w:val="24"/>
                <w:szCs w:val="24"/>
              </w:rPr>
            </w:pPr>
            <w:r w:rsidRPr="00A3261C">
              <w:rPr>
                <w:sz w:val="24"/>
                <w:szCs w:val="24"/>
              </w:rPr>
              <w:t>- здійснення технічного нагляду (1,5 %);</w:t>
            </w:r>
          </w:p>
          <w:p w:rsidR="00A3261C" w:rsidRPr="00A3261C" w:rsidRDefault="00A3261C" w:rsidP="00A3261C">
            <w:pPr>
              <w:pStyle w:val="TableParagraph"/>
              <w:rPr>
                <w:sz w:val="24"/>
                <w:szCs w:val="24"/>
              </w:rPr>
            </w:pPr>
            <w:r w:rsidRPr="00A3261C">
              <w:rPr>
                <w:sz w:val="24"/>
                <w:szCs w:val="24"/>
              </w:rPr>
              <w:t xml:space="preserve">- отримання сертифіката відповідності закінченого будівництвом об’єкта </w:t>
            </w:r>
            <w:proofErr w:type="spellStart"/>
            <w:r w:rsidRPr="00A3261C">
              <w:rPr>
                <w:sz w:val="24"/>
                <w:szCs w:val="24"/>
              </w:rPr>
              <w:t>проєктній</w:t>
            </w:r>
            <w:proofErr w:type="spellEnd"/>
            <w:r w:rsidRPr="00A3261C">
              <w:rPr>
                <w:sz w:val="24"/>
                <w:szCs w:val="24"/>
              </w:rPr>
              <w:t xml:space="preserve"> документації та  його готовності до експлуатації;</w:t>
            </w:r>
          </w:p>
          <w:p w:rsidR="00A3261C" w:rsidRPr="00A3261C" w:rsidRDefault="00A3261C" w:rsidP="00A3261C">
            <w:pPr>
              <w:pStyle w:val="TableParagraph"/>
              <w:rPr>
                <w:sz w:val="24"/>
                <w:szCs w:val="24"/>
              </w:rPr>
            </w:pPr>
            <w:r w:rsidRPr="00A3261C">
              <w:rPr>
                <w:sz w:val="24"/>
                <w:szCs w:val="24"/>
              </w:rPr>
              <w:t>- формування страхового фонду документації;</w:t>
            </w:r>
          </w:p>
          <w:p w:rsidR="00A3261C" w:rsidRPr="00A3261C" w:rsidRDefault="00A3261C" w:rsidP="00A3261C">
            <w:pPr>
              <w:pStyle w:val="TableParagraph"/>
              <w:rPr>
                <w:sz w:val="24"/>
                <w:szCs w:val="24"/>
              </w:rPr>
            </w:pPr>
            <w:r w:rsidRPr="00A3261C">
              <w:rPr>
                <w:sz w:val="24"/>
                <w:szCs w:val="24"/>
              </w:rPr>
              <w:t xml:space="preserve">- виконання експертизи </w:t>
            </w:r>
            <w:proofErr w:type="spellStart"/>
            <w:r w:rsidRPr="00A3261C">
              <w:rPr>
                <w:sz w:val="24"/>
                <w:szCs w:val="24"/>
              </w:rPr>
              <w:t>проєктної</w:t>
            </w:r>
            <w:proofErr w:type="spellEnd"/>
            <w:r w:rsidRPr="00A3261C">
              <w:rPr>
                <w:sz w:val="24"/>
                <w:szCs w:val="24"/>
              </w:rPr>
              <w:t xml:space="preserve"> документації;</w:t>
            </w:r>
          </w:p>
          <w:p w:rsidR="00A3261C" w:rsidRPr="00A3261C" w:rsidRDefault="00A3261C" w:rsidP="00A3261C">
            <w:pPr>
              <w:pStyle w:val="TableParagraph"/>
              <w:rPr>
                <w:sz w:val="24"/>
                <w:szCs w:val="24"/>
              </w:rPr>
            </w:pPr>
            <w:r w:rsidRPr="00A3261C">
              <w:rPr>
                <w:sz w:val="24"/>
                <w:szCs w:val="24"/>
              </w:rPr>
              <w:t>- здійснення авторського нагляду;</w:t>
            </w:r>
          </w:p>
          <w:p w:rsidR="00A3261C" w:rsidRPr="00A3261C" w:rsidRDefault="00A3261C" w:rsidP="00A3261C">
            <w:pPr>
              <w:pStyle w:val="TableParagraph"/>
              <w:rPr>
                <w:sz w:val="24"/>
                <w:szCs w:val="24"/>
              </w:rPr>
            </w:pPr>
            <w:r w:rsidRPr="00A3261C">
              <w:rPr>
                <w:sz w:val="24"/>
                <w:szCs w:val="24"/>
              </w:rPr>
              <w:t xml:space="preserve">- будівельну експертизу робочого </w:t>
            </w:r>
            <w:proofErr w:type="spellStart"/>
            <w:r w:rsidRPr="00A3261C">
              <w:rPr>
                <w:sz w:val="24"/>
                <w:szCs w:val="24"/>
              </w:rPr>
              <w:t>проєкту</w:t>
            </w:r>
            <w:proofErr w:type="spellEnd"/>
            <w:r w:rsidRPr="00A3261C">
              <w:rPr>
                <w:sz w:val="24"/>
                <w:szCs w:val="24"/>
              </w:rPr>
              <w:t xml:space="preserve"> щодо його технічної та кошторисної складових. Вартість проведення експертизи </w:t>
            </w:r>
            <w:proofErr w:type="spellStart"/>
            <w:r w:rsidRPr="00A3261C">
              <w:rPr>
                <w:sz w:val="24"/>
                <w:szCs w:val="24"/>
              </w:rPr>
              <w:t>проєкту</w:t>
            </w:r>
            <w:proofErr w:type="spellEnd"/>
            <w:r w:rsidRPr="00A3261C">
              <w:rPr>
                <w:sz w:val="24"/>
                <w:szCs w:val="24"/>
              </w:rPr>
              <w:t xml:space="preserve">, отримання всіх необхідних технічних умов і узгоджень </w:t>
            </w:r>
            <w:proofErr w:type="spellStart"/>
            <w:r w:rsidRPr="00A3261C">
              <w:rPr>
                <w:sz w:val="24"/>
                <w:szCs w:val="24"/>
              </w:rPr>
              <w:t>проєктної</w:t>
            </w:r>
            <w:proofErr w:type="spellEnd"/>
            <w:r w:rsidRPr="00A3261C">
              <w:rPr>
                <w:sz w:val="24"/>
                <w:szCs w:val="24"/>
              </w:rPr>
              <w:t xml:space="preserve"> документації, передбачає своєю ціновою пропозицією та в подальшому сплачує </w:t>
            </w:r>
            <w:proofErr w:type="spellStart"/>
            <w:r w:rsidRPr="00A3261C">
              <w:rPr>
                <w:sz w:val="24"/>
                <w:szCs w:val="24"/>
              </w:rPr>
              <w:t>проєктна</w:t>
            </w:r>
            <w:proofErr w:type="spellEnd"/>
            <w:r w:rsidRPr="00A3261C">
              <w:rPr>
                <w:sz w:val="24"/>
                <w:szCs w:val="24"/>
              </w:rPr>
              <w:t xml:space="preserve"> організація з наступним відшкодуванням Замовником витрат на її проведення;</w:t>
            </w:r>
          </w:p>
          <w:p w:rsidR="00A3261C" w:rsidRPr="00A3261C" w:rsidRDefault="00A3261C" w:rsidP="00A3261C">
            <w:pPr>
              <w:pStyle w:val="TableParagraph"/>
              <w:rPr>
                <w:sz w:val="24"/>
                <w:szCs w:val="24"/>
              </w:rPr>
            </w:pPr>
            <w:r w:rsidRPr="00A3261C">
              <w:rPr>
                <w:sz w:val="24"/>
                <w:szCs w:val="24"/>
              </w:rPr>
              <w:t xml:space="preserve">- 4 примірники </w:t>
            </w:r>
            <w:proofErr w:type="spellStart"/>
            <w:r w:rsidRPr="00A3261C">
              <w:rPr>
                <w:sz w:val="24"/>
                <w:szCs w:val="24"/>
              </w:rPr>
              <w:t>проєктно-кошторисної</w:t>
            </w:r>
            <w:proofErr w:type="spellEnd"/>
            <w:r w:rsidRPr="00A3261C">
              <w:rPr>
                <w:sz w:val="24"/>
                <w:szCs w:val="24"/>
              </w:rPr>
              <w:t xml:space="preserve"> документації у паперовому вигляді, відповідно ДБН А.2.2-3:2014 «Склад та зміст </w:t>
            </w:r>
            <w:proofErr w:type="spellStart"/>
            <w:r w:rsidRPr="00A3261C">
              <w:rPr>
                <w:sz w:val="24"/>
                <w:szCs w:val="24"/>
              </w:rPr>
              <w:t>проєктної</w:t>
            </w:r>
            <w:proofErr w:type="spellEnd"/>
            <w:r w:rsidRPr="00A3261C">
              <w:rPr>
                <w:sz w:val="24"/>
                <w:szCs w:val="24"/>
              </w:rPr>
              <w:t xml:space="preserve"> документації на будівництво». До складу графічної частини </w:t>
            </w:r>
            <w:proofErr w:type="spellStart"/>
            <w:r w:rsidRPr="00A3261C">
              <w:rPr>
                <w:sz w:val="24"/>
                <w:szCs w:val="24"/>
              </w:rPr>
              <w:t>проєктно-кошторисної</w:t>
            </w:r>
            <w:proofErr w:type="spellEnd"/>
            <w:r w:rsidRPr="00A3261C">
              <w:rPr>
                <w:sz w:val="24"/>
                <w:szCs w:val="24"/>
              </w:rPr>
              <w:t xml:space="preserve"> документації має входити: генеральний план на топографічній основі М 1:500 або М 1:1000, план трас зовнішніх мереж та комунікацій М 1:2000, схема благоустрою М 1:500 з детальним відображенням мощення, елементів благоустрою тощо, додаток з описом колористичного та текстурного рішення елементів благоустрою.</w:t>
            </w:r>
          </w:p>
          <w:p w:rsidR="00A3261C" w:rsidRPr="00A3261C" w:rsidRDefault="00A3261C" w:rsidP="00A3261C">
            <w:pPr>
              <w:pStyle w:val="TableParagraph"/>
              <w:rPr>
                <w:sz w:val="24"/>
                <w:szCs w:val="24"/>
              </w:rPr>
            </w:pPr>
            <w:r w:rsidRPr="00A3261C">
              <w:rPr>
                <w:sz w:val="24"/>
                <w:szCs w:val="24"/>
              </w:rPr>
              <w:t xml:space="preserve">- оприлюднення результатів </w:t>
            </w:r>
            <w:proofErr w:type="spellStart"/>
            <w:r w:rsidRPr="00A3261C">
              <w:rPr>
                <w:sz w:val="24"/>
                <w:szCs w:val="24"/>
              </w:rPr>
              <w:t>проєктних</w:t>
            </w:r>
            <w:proofErr w:type="spellEnd"/>
            <w:r w:rsidRPr="00A3261C">
              <w:rPr>
                <w:sz w:val="24"/>
                <w:szCs w:val="24"/>
              </w:rPr>
              <w:t xml:space="preserve"> робіт та експертизи у Єдиній державній системі у сфері будівництва відповідно до вимог ст. 26-1 Закону України «Про регулювання містобудівної </w:t>
            </w:r>
            <w:r w:rsidRPr="00A3261C">
              <w:rPr>
                <w:sz w:val="24"/>
                <w:szCs w:val="24"/>
              </w:rPr>
              <w:lastRenderedPageBreak/>
              <w:t>діяльності».</w:t>
            </w:r>
          </w:p>
        </w:tc>
      </w:tr>
      <w:tr w:rsidR="00A3261C" w:rsidRPr="00A3261C" w:rsidTr="00A3261C">
        <w:trPr>
          <w:trHeight w:val="55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26</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 xml:space="preserve">Вимоги щодо розроблення </w:t>
            </w:r>
            <w:proofErr w:type="spellStart"/>
            <w:r w:rsidRPr="00A3261C">
              <w:rPr>
                <w:sz w:val="24"/>
                <w:szCs w:val="24"/>
              </w:rPr>
              <w:t>проєктно-кошторисної</w:t>
            </w:r>
            <w:proofErr w:type="spellEnd"/>
            <w:r w:rsidRPr="00A3261C">
              <w:rPr>
                <w:sz w:val="24"/>
                <w:szCs w:val="24"/>
              </w:rPr>
              <w:t xml:space="preserve">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Згідно діючих норм</w:t>
            </w:r>
          </w:p>
        </w:tc>
      </w:tr>
      <w:tr w:rsidR="00A3261C" w:rsidRPr="00A3261C" w:rsidTr="00A3261C">
        <w:trPr>
          <w:trHeight w:val="570"/>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27</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05"/>
              <w:rPr>
                <w:sz w:val="24"/>
                <w:szCs w:val="24"/>
              </w:rPr>
            </w:pPr>
            <w:r w:rsidRPr="00A3261C">
              <w:rPr>
                <w:sz w:val="24"/>
                <w:szCs w:val="24"/>
              </w:rPr>
              <w:t>Необхідність виконання науково-технічного супроводу</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rPr>
                <w:sz w:val="24"/>
                <w:szCs w:val="24"/>
              </w:rPr>
            </w:pPr>
            <w:r w:rsidRPr="00A3261C">
              <w:rPr>
                <w:sz w:val="24"/>
                <w:szCs w:val="24"/>
              </w:rPr>
              <w:t>Не потребує</w:t>
            </w:r>
          </w:p>
        </w:tc>
      </w:tr>
      <w:tr w:rsidR="00A3261C" w:rsidRPr="00A3261C" w:rsidTr="00A3261C">
        <w:trPr>
          <w:trHeight w:val="1170"/>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28</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588"/>
              <w:rPr>
                <w:sz w:val="24"/>
                <w:szCs w:val="24"/>
              </w:rPr>
            </w:pPr>
            <w:r w:rsidRPr="00A3261C">
              <w:rPr>
                <w:sz w:val="24"/>
                <w:szCs w:val="24"/>
              </w:rPr>
              <w:t>Вимоги щодо забезпечення збалансованого використання природних ресурсів згідно з ДСТУ9171.</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309"/>
              <w:rPr>
                <w:sz w:val="24"/>
                <w:szCs w:val="24"/>
              </w:rPr>
            </w:pPr>
            <w:r w:rsidRPr="00A3261C">
              <w:rPr>
                <w:sz w:val="24"/>
                <w:szCs w:val="24"/>
              </w:rPr>
              <w:t>Відповідно до норм чинного законодавства та діючих норм будівництва.</w:t>
            </w:r>
          </w:p>
        </w:tc>
      </w:tr>
      <w:tr w:rsidR="00A3261C" w:rsidRPr="00A3261C" w:rsidTr="00A3261C">
        <w:trPr>
          <w:trHeight w:val="1379"/>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29</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Погодження</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693"/>
              <w:jc w:val="both"/>
              <w:rPr>
                <w:sz w:val="24"/>
                <w:szCs w:val="24"/>
              </w:rPr>
            </w:pPr>
            <w:r w:rsidRPr="00A3261C">
              <w:rPr>
                <w:sz w:val="24"/>
                <w:szCs w:val="24"/>
              </w:rPr>
              <w:t xml:space="preserve">1) </w:t>
            </w:r>
            <w:proofErr w:type="spellStart"/>
            <w:r w:rsidRPr="00A3261C">
              <w:rPr>
                <w:sz w:val="24"/>
                <w:szCs w:val="24"/>
              </w:rPr>
              <w:t>проєктних</w:t>
            </w:r>
            <w:proofErr w:type="spellEnd"/>
            <w:r w:rsidRPr="00A3261C">
              <w:rPr>
                <w:sz w:val="24"/>
                <w:szCs w:val="24"/>
              </w:rPr>
              <w:t xml:space="preserve"> робіт (</w:t>
            </w:r>
            <w:proofErr w:type="spellStart"/>
            <w:r w:rsidRPr="00A3261C">
              <w:rPr>
                <w:sz w:val="24"/>
                <w:szCs w:val="24"/>
              </w:rPr>
              <w:t>проєктної</w:t>
            </w:r>
            <w:proofErr w:type="spellEnd"/>
            <w:r w:rsidRPr="00A3261C">
              <w:rPr>
                <w:sz w:val="24"/>
                <w:szCs w:val="24"/>
              </w:rPr>
              <w:t xml:space="preserve"> документації) з Замовником та з уповноваженим органом з питань містобудування та архітектури Миколаївської міської ради – Департаментом архітектури та містобудування Миколаївської міської ради відповідно до «Порядку погодження </w:t>
            </w:r>
            <w:proofErr w:type="spellStart"/>
            <w:r w:rsidRPr="00A3261C">
              <w:rPr>
                <w:sz w:val="24"/>
                <w:szCs w:val="24"/>
              </w:rPr>
              <w:t>проєкту</w:t>
            </w:r>
            <w:proofErr w:type="spellEnd"/>
            <w:r w:rsidRPr="00A3261C">
              <w:rPr>
                <w:sz w:val="24"/>
                <w:szCs w:val="24"/>
              </w:rPr>
              <w:t xml:space="preserve"> завдання на </w:t>
            </w:r>
            <w:proofErr w:type="spellStart"/>
            <w:r w:rsidRPr="00A3261C">
              <w:rPr>
                <w:sz w:val="24"/>
                <w:szCs w:val="24"/>
              </w:rPr>
              <w:t>проєктування</w:t>
            </w:r>
            <w:proofErr w:type="spellEnd"/>
            <w:r w:rsidRPr="00A3261C">
              <w:rPr>
                <w:sz w:val="24"/>
                <w:szCs w:val="24"/>
              </w:rPr>
              <w:t xml:space="preserve"> на розроблення об’єктів будівництва та об’єктів міського середовища, а також результатів </w:t>
            </w:r>
            <w:proofErr w:type="spellStart"/>
            <w:r w:rsidRPr="00A3261C">
              <w:rPr>
                <w:sz w:val="24"/>
                <w:szCs w:val="24"/>
              </w:rPr>
              <w:t>проєктних</w:t>
            </w:r>
            <w:proofErr w:type="spellEnd"/>
            <w:r w:rsidRPr="00A3261C">
              <w:rPr>
                <w:sz w:val="24"/>
                <w:szCs w:val="24"/>
              </w:rPr>
              <w:t xml:space="preserve"> робіт за такими завданнями уповноваженим органом містобудування та архітектури, реалізація яких здійснюється за кошти територіальної громади міста Миколаєва», затвердженого рішенням виконавчого комітету Миколаївської міської ради від 08.02.2023 № 40;</w:t>
            </w:r>
          </w:p>
          <w:p w:rsidR="00A3261C" w:rsidRPr="00A3261C" w:rsidRDefault="00A3261C" w:rsidP="00A3261C">
            <w:pPr>
              <w:pStyle w:val="TableParagraph"/>
              <w:ind w:right="693"/>
              <w:jc w:val="both"/>
              <w:rPr>
                <w:sz w:val="24"/>
                <w:szCs w:val="24"/>
              </w:rPr>
            </w:pPr>
            <w:r w:rsidRPr="00A3261C">
              <w:rPr>
                <w:sz w:val="24"/>
                <w:szCs w:val="24"/>
              </w:rPr>
              <w:t xml:space="preserve">2) </w:t>
            </w:r>
            <w:proofErr w:type="spellStart"/>
            <w:r w:rsidRPr="00A3261C">
              <w:rPr>
                <w:sz w:val="24"/>
                <w:szCs w:val="24"/>
              </w:rPr>
              <w:t>проєктних</w:t>
            </w:r>
            <w:proofErr w:type="spellEnd"/>
            <w:r w:rsidRPr="00A3261C">
              <w:rPr>
                <w:sz w:val="24"/>
                <w:szCs w:val="24"/>
              </w:rPr>
              <w:t xml:space="preserve"> рішень з перевлаштування інженерних мереж з </w:t>
            </w:r>
            <w:proofErr w:type="spellStart"/>
            <w:r w:rsidRPr="00A3261C">
              <w:rPr>
                <w:sz w:val="24"/>
                <w:szCs w:val="24"/>
              </w:rPr>
              <w:t>організаціями-балансоутримувачами</w:t>
            </w:r>
            <w:proofErr w:type="spellEnd"/>
            <w:r w:rsidRPr="00A3261C">
              <w:rPr>
                <w:sz w:val="24"/>
                <w:szCs w:val="24"/>
              </w:rPr>
              <w:t xml:space="preserve"> інженерних комунікацій, відповідно до наданих ними технічних умов або завдань на </w:t>
            </w:r>
            <w:proofErr w:type="spellStart"/>
            <w:r w:rsidRPr="00A3261C">
              <w:rPr>
                <w:sz w:val="24"/>
                <w:szCs w:val="24"/>
              </w:rPr>
              <w:t>проєктування</w:t>
            </w:r>
            <w:proofErr w:type="spellEnd"/>
            <w:r w:rsidRPr="00A3261C">
              <w:rPr>
                <w:sz w:val="24"/>
                <w:szCs w:val="24"/>
              </w:rPr>
              <w:t>.</w:t>
            </w:r>
          </w:p>
        </w:tc>
      </w:tr>
      <w:tr w:rsidR="00A3261C" w:rsidRPr="00A3261C" w:rsidTr="00A3261C">
        <w:trPr>
          <w:trHeight w:val="193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30</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Вимоги до якості матеріалів</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37"/>
              <w:rPr>
                <w:sz w:val="24"/>
                <w:szCs w:val="24"/>
              </w:rPr>
            </w:pPr>
            <w:r w:rsidRPr="00A3261C">
              <w:rPr>
                <w:sz w:val="24"/>
                <w:szCs w:val="24"/>
              </w:rPr>
              <w:t xml:space="preserve">Матеріали зазначені в </w:t>
            </w:r>
            <w:proofErr w:type="spellStart"/>
            <w:r w:rsidRPr="00A3261C">
              <w:rPr>
                <w:sz w:val="24"/>
                <w:szCs w:val="24"/>
              </w:rPr>
              <w:t>проєктній</w:t>
            </w:r>
            <w:proofErr w:type="spellEnd"/>
            <w:r w:rsidRPr="00A3261C">
              <w:rPr>
                <w:sz w:val="24"/>
                <w:szCs w:val="24"/>
              </w:rPr>
              <w:t xml:space="preserve"> документації мають відповідати нормам, стандартам, якісним показникам і технічним вимогам, що встановлені чинними нормативними актами, і підтверджуватися сертифікатами якості та/або</w:t>
            </w:r>
          </w:p>
          <w:p w:rsidR="00A3261C" w:rsidRPr="00A3261C" w:rsidRDefault="00A3261C" w:rsidP="00A3261C">
            <w:pPr>
              <w:pStyle w:val="TableParagraph"/>
              <w:ind w:right="376"/>
              <w:rPr>
                <w:sz w:val="24"/>
                <w:szCs w:val="24"/>
              </w:rPr>
            </w:pPr>
            <w:r w:rsidRPr="00A3261C">
              <w:rPr>
                <w:sz w:val="24"/>
                <w:szCs w:val="24"/>
              </w:rPr>
              <w:t>технічними паспортами, іншими документами, що підтверджують їх якісні характеристики.</w:t>
            </w:r>
          </w:p>
        </w:tc>
      </w:tr>
      <w:tr w:rsidR="00A3261C" w:rsidRPr="00A3261C" w:rsidTr="00A3261C">
        <w:trPr>
          <w:trHeight w:val="3873"/>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lastRenderedPageBreak/>
              <w:t>31</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1046"/>
              <w:rPr>
                <w:sz w:val="24"/>
                <w:szCs w:val="24"/>
              </w:rPr>
            </w:pPr>
            <w:r w:rsidRPr="00A3261C">
              <w:rPr>
                <w:sz w:val="24"/>
                <w:szCs w:val="24"/>
              </w:rPr>
              <w:t xml:space="preserve">Вимоги щодо експертизи </w:t>
            </w:r>
            <w:proofErr w:type="spellStart"/>
            <w:r w:rsidRPr="00A3261C">
              <w:rPr>
                <w:sz w:val="24"/>
                <w:szCs w:val="24"/>
              </w:rPr>
              <w:t>проєктної</w:t>
            </w:r>
            <w:proofErr w:type="spellEnd"/>
            <w:r w:rsidRPr="00A3261C">
              <w:rPr>
                <w:sz w:val="24"/>
                <w:szCs w:val="24"/>
              </w:rPr>
              <w:t xml:space="preserve">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600"/>
              <w:rPr>
                <w:sz w:val="24"/>
                <w:szCs w:val="24"/>
              </w:rPr>
            </w:pPr>
            <w:r w:rsidRPr="00A3261C">
              <w:rPr>
                <w:sz w:val="24"/>
                <w:szCs w:val="24"/>
              </w:rPr>
              <w:t xml:space="preserve">- експертиза робочого </w:t>
            </w:r>
            <w:proofErr w:type="spellStart"/>
            <w:r w:rsidRPr="00A3261C">
              <w:rPr>
                <w:sz w:val="24"/>
                <w:szCs w:val="24"/>
              </w:rPr>
              <w:t>проєкту</w:t>
            </w:r>
            <w:proofErr w:type="spellEnd"/>
            <w:r w:rsidRPr="00A3261C">
              <w:rPr>
                <w:sz w:val="24"/>
                <w:szCs w:val="24"/>
              </w:rPr>
              <w:t xml:space="preserve"> та отримання позитивного експертного висновку</w:t>
            </w:r>
          </w:p>
          <w:p w:rsidR="00A3261C" w:rsidRPr="00A3261C" w:rsidRDefault="00A3261C" w:rsidP="00A3261C">
            <w:pPr>
              <w:pStyle w:val="TableParagraph"/>
              <w:rPr>
                <w:sz w:val="24"/>
                <w:szCs w:val="24"/>
              </w:rPr>
            </w:pPr>
            <w:r w:rsidRPr="00A3261C">
              <w:rPr>
                <w:sz w:val="24"/>
                <w:szCs w:val="24"/>
              </w:rPr>
              <w:t>(Вартість проведення експертизи проекту,</w:t>
            </w:r>
          </w:p>
          <w:p w:rsidR="00A3261C" w:rsidRPr="00A3261C" w:rsidRDefault="00A3261C" w:rsidP="00A3261C">
            <w:pPr>
              <w:pStyle w:val="TableParagraph"/>
              <w:ind w:right="409"/>
              <w:rPr>
                <w:sz w:val="24"/>
                <w:szCs w:val="24"/>
              </w:rPr>
            </w:pPr>
            <w:r w:rsidRPr="00A3261C">
              <w:rPr>
                <w:sz w:val="24"/>
                <w:szCs w:val="24"/>
              </w:rPr>
              <w:t xml:space="preserve">отримання всіх необхідних технічних умов і узгоджень </w:t>
            </w:r>
            <w:proofErr w:type="spellStart"/>
            <w:r w:rsidRPr="00A3261C">
              <w:rPr>
                <w:sz w:val="24"/>
                <w:szCs w:val="24"/>
              </w:rPr>
              <w:t>проєктної</w:t>
            </w:r>
            <w:proofErr w:type="spellEnd"/>
            <w:r w:rsidRPr="00A3261C">
              <w:rPr>
                <w:sz w:val="24"/>
                <w:szCs w:val="24"/>
              </w:rPr>
              <w:t xml:space="preserve"> документації, передбачає своєю ціновою пропозицією та в подальшому сплачує </w:t>
            </w:r>
            <w:proofErr w:type="spellStart"/>
            <w:r w:rsidRPr="00A3261C">
              <w:rPr>
                <w:sz w:val="24"/>
                <w:szCs w:val="24"/>
              </w:rPr>
              <w:t>проєктна</w:t>
            </w:r>
            <w:proofErr w:type="spellEnd"/>
            <w:r w:rsidRPr="00A3261C">
              <w:rPr>
                <w:sz w:val="24"/>
                <w:szCs w:val="24"/>
              </w:rPr>
              <w:t xml:space="preserve"> організація, з наступним відшкодуванням Замовником витрат на її проведення);</w:t>
            </w:r>
          </w:p>
          <w:p w:rsidR="00A3261C" w:rsidRPr="00A3261C" w:rsidRDefault="00A3261C" w:rsidP="00A3261C">
            <w:pPr>
              <w:pStyle w:val="TableParagraph"/>
              <w:ind w:right="215"/>
              <w:rPr>
                <w:sz w:val="24"/>
                <w:szCs w:val="24"/>
              </w:rPr>
            </w:pPr>
            <w:r w:rsidRPr="00A3261C">
              <w:rPr>
                <w:sz w:val="24"/>
                <w:szCs w:val="24"/>
              </w:rPr>
              <w:t xml:space="preserve">- оприлюднення результатів експертизи </w:t>
            </w:r>
            <w:proofErr w:type="spellStart"/>
            <w:r w:rsidRPr="00A3261C">
              <w:rPr>
                <w:sz w:val="24"/>
                <w:szCs w:val="24"/>
              </w:rPr>
              <w:t>проєкту</w:t>
            </w:r>
            <w:proofErr w:type="spellEnd"/>
            <w:r w:rsidRPr="00A3261C">
              <w:rPr>
                <w:sz w:val="24"/>
                <w:szCs w:val="24"/>
              </w:rPr>
              <w:t xml:space="preserve"> у Єдиній державній електронній системі у сфері будівництва відповідно до вимог ст. 26-1 Закону України «Про регулювання містобудівної діяльності».</w:t>
            </w:r>
          </w:p>
        </w:tc>
      </w:tr>
      <w:tr w:rsidR="00A3261C" w:rsidRPr="00A3261C" w:rsidTr="00A3261C">
        <w:trPr>
          <w:trHeight w:val="3311"/>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32</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ight="281"/>
              <w:rPr>
                <w:sz w:val="24"/>
                <w:szCs w:val="24"/>
              </w:rPr>
            </w:pPr>
            <w:r w:rsidRPr="00A3261C">
              <w:rPr>
                <w:sz w:val="24"/>
                <w:szCs w:val="24"/>
              </w:rPr>
              <w:t xml:space="preserve">Кількість примірників </w:t>
            </w:r>
            <w:proofErr w:type="spellStart"/>
            <w:r w:rsidRPr="00A3261C">
              <w:rPr>
                <w:sz w:val="24"/>
                <w:szCs w:val="24"/>
              </w:rPr>
              <w:t>проєктної</w:t>
            </w:r>
            <w:proofErr w:type="spellEnd"/>
            <w:r w:rsidRPr="00A3261C">
              <w:rPr>
                <w:sz w:val="24"/>
                <w:szCs w:val="24"/>
              </w:rPr>
              <w:t xml:space="preserve"> документації</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right="118"/>
              <w:rPr>
                <w:sz w:val="24"/>
                <w:szCs w:val="24"/>
              </w:rPr>
            </w:pPr>
            <w:proofErr w:type="spellStart"/>
            <w:r w:rsidRPr="00A3261C">
              <w:rPr>
                <w:sz w:val="24"/>
                <w:szCs w:val="24"/>
              </w:rPr>
              <w:t>Проєктна</w:t>
            </w:r>
            <w:proofErr w:type="spellEnd"/>
            <w:r w:rsidRPr="00A3261C">
              <w:rPr>
                <w:sz w:val="24"/>
                <w:szCs w:val="24"/>
              </w:rPr>
              <w:t xml:space="preserve"> документація виконується українською мовою. Кінцевій результат </w:t>
            </w:r>
            <w:proofErr w:type="spellStart"/>
            <w:r w:rsidRPr="00A3261C">
              <w:rPr>
                <w:sz w:val="24"/>
                <w:szCs w:val="24"/>
              </w:rPr>
              <w:t>проєктних</w:t>
            </w:r>
            <w:proofErr w:type="spellEnd"/>
            <w:r w:rsidRPr="00A3261C">
              <w:rPr>
                <w:sz w:val="24"/>
                <w:szCs w:val="24"/>
              </w:rPr>
              <w:t xml:space="preserve"> робіт у вигляді погодженої </w:t>
            </w:r>
            <w:proofErr w:type="spellStart"/>
            <w:r w:rsidRPr="00A3261C">
              <w:rPr>
                <w:sz w:val="24"/>
                <w:szCs w:val="24"/>
              </w:rPr>
              <w:t>проєктної</w:t>
            </w:r>
            <w:proofErr w:type="spellEnd"/>
            <w:r w:rsidRPr="00A3261C">
              <w:rPr>
                <w:sz w:val="24"/>
                <w:szCs w:val="24"/>
              </w:rPr>
              <w:t xml:space="preserve"> документації надається Замовнику у вигляді 4-х примірниках у паперовому вигляді (1оригінал та 3 копії, всі матеріали у кольорі), та 2 примірника в електронному вигляді на 2-х окремих </w:t>
            </w:r>
            <w:proofErr w:type="spellStart"/>
            <w:r w:rsidRPr="00A3261C">
              <w:rPr>
                <w:sz w:val="24"/>
                <w:szCs w:val="24"/>
              </w:rPr>
              <w:t>Flash</w:t>
            </w:r>
            <w:proofErr w:type="spellEnd"/>
            <w:r w:rsidRPr="00A3261C">
              <w:rPr>
                <w:sz w:val="24"/>
                <w:szCs w:val="24"/>
              </w:rPr>
              <w:t xml:space="preserve"> носіях USB 2.5 ( текстові файли у форматі *</w:t>
            </w:r>
            <w:proofErr w:type="spellStart"/>
            <w:r w:rsidRPr="00A3261C">
              <w:rPr>
                <w:sz w:val="24"/>
                <w:szCs w:val="24"/>
              </w:rPr>
              <w:t>.doc</w:t>
            </w:r>
            <w:proofErr w:type="spellEnd"/>
            <w:r w:rsidRPr="00A3261C">
              <w:rPr>
                <w:sz w:val="24"/>
                <w:szCs w:val="24"/>
              </w:rPr>
              <w:t>, *</w:t>
            </w:r>
            <w:proofErr w:type="spellStart"/>
            <w:r w:rsidRPr="00A3261C">
              <w:rPr>
                <w:sz w:val="24"/>
                <w:szCs w:val="24"/>
              </w:rPr>
              <w:t>.pdf</w:t>
            </w:r>
            <w:proofErr w:type="spellEnd"/>
            <w:r w:rsidRPr="00A3261C">
              <w:rPr>
                <w:sz w:val="24"/>
                <w:szCs w:val="24"/>
              </w:rPr>
              <w:t>, електроні таблиці в форматі *</w:t>
            </w:r>
            <w:proofErr w:type="spellStart"/>
            <w:r w:rsidRPr="00A3261C">
              <w:rPr>
                <w:sz w:val="24"/>
                <w:szCs w:val="24"/>
              </w:rPr>
              <w:t>.xls</w:t>
            </w:r>
            <w:proofErr w:type="spellEnd"/>
            <w:r w:rsidRPr="00A3261C">
              <w:rPr>
                <w:sz w:val="24"/>
                <w:szCs w:val="24"/>
              </w:rPr>
              <w:t>, графічні файли у форматах *</w:t>
            </w:r>
            <w:proofErr w:type="spellStart"/>
            <w:r w:rsidRPr="00A3261C">
              <w:rPr>
                <w:sz w:val="24"/>
                <w:szCs w:val="24"/>
              </w:rPr>
              <w:t>dwg</w:t>
            </w:r>
            <w:proofErr w:type="spellEnd"/>
            <w:r w:rsidRPr="00A3261C">
              <w:rPr>
                <w:sz w:val="24"/>
                <w:szCs w:val="24"/>
              </w:rPr>
              <w:t xml:space="preserve"> та*</w:t>
            </w:r>
            <w:proofErr w:type="spellStart"/>
            <w:r w:rsidRPr="00A3261C">
              <w:rPr>
                <w:sz w:val="24"/>
                <w:szCs w:val="24"/>
              </w:rPr>
              <w:t>.pdf</w:t>
            </w:r>
            <w:proofErr w:type="spellEnd"/>
            <w:r w:rsidRPr="00A3261C">
              <w:rPr>
                <w:sz w:val="24"/>
                <w:szCs w:val="24"/>
              </w:rPr>
              <w:t>, кошториси у форматі *</w:t>
            </w:r>
            <w:proofErr w:type="spellStart"/>
            <w:r w:rsidRPr="00A3261C">
              <w:rPr>
                <w:sz w:val="24"/>
                <w:szCs w:val="24"/>
              </w:rPr>
              <w:t>ims</w:t>
            </w:r>
            <w:proofErr w:type="spellEnd"/>
            <w:r w:rsidRPr="00A3261C">
              <w:rPr>
                <w:sz w:val="24"/>
                <w:szCs w:val="24"/>
              </w:rPr>
              <w:t>).  Файли у форматі *</w:t>
            </w:r>
            <w:proofErr w:type="spellStart"/>
            <w:r w:rsidRPr="00A3261C">
              <w:rPr>
                <w:sz w:val="24"/>
                <w:szCs w:val="24"/>
              </w:rPr>
              <w:t>.pdf</w:t>
            </w:r>
            <w:proofErr w:type="spellEnd"/>
            <w:r w:rsidRPr="00A3261C">
              <w:rPr>
                <w:sz w:val="24"/>
                <w:szCs w:val="24"/>
              </w:rPr>
              <w:t xml:space="preserve">  надаються без можливості їх редагування. </w:t>
            </w:r>
          </w:p>
          <w:p w:rsidR="00A3261C" w:rsidRPr="00A3261C" w:rsidRDefault="00A3261C" w:rsidP="00A3261C">
            <w:pPr>
              <w:pStyle w:val="TableParagraph"/>
              <w:ind w:right="118"/>
              <w:rPr>
                <w:sz w:val="24"/>
                <w:szCs w:val="24"/>
              </w:rPr>
            </w:pPr>
            <w:r w:rsidRPr="00A3261C">
              <w:rPr>
                <w:sz w:val="24"/>
                <w:szCs w:val="24"/>
              </w:rPr>
              <w:t xml:space="preserve">Оприлюднення результатів </w:t>
            </w:r>
            <w:proofErr w:type="spellStart"/>
            <w:r w:rsidRPr="00A3261C">
              <w:rPr>
                <w:sz w:val="24"/>
                <w:szCs w:val="24"/>
              </w:rPr>
              <w:t>проєктування</w:t>
            </w:r>
            <w:proofErr w:type="spellEnd"/>
            <w:r w:rsidRPr="00A3261C">
              <w:rPr>
                <w:sz w:val="24"/>
                <w:szCs w:val="24"/>
              </w:rPr>
              <w:t xml:space="preserve"> у Єдиній державній електронній системі у сфері будівництва відповідно до вимог ст. 26-1 Закону України «Про регулювання містобудівної діяльності».</w:t>
            </w:r>
          </w:p>
        </w:tc>
      </w:tr>
      <w:tr w:rsidR="00A3261C" w:rsidRPr="00A3261C" w:rsidTr="00A3261C">
        <w:trPr>
          <w:trHeight w:val="338"/>
        </w:trPr>
        <w:tc>
          <w:tcPr>
            <w:tcW w:w="828"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0" w:right="283"/>
              <w:jc w:val="right"/>
              <w:rPr>
                <w:sz w:val="24"/>
                <w:szCs w:val="24"/>
              </w:rPr>
            </w:pPr>
            <w:r w:rsidRPr="00A3261C">
              <w:rPr>
                <w:sz w:val="24"/>
                <w:szCs w:val="24"/>
              </w:rPr>
              <w:t>33</w:t>
            </w:r>
          </w:p>
        </w:tc>
        <w:tc>
          <w:tcPr>
            <w:tcW w:w="3780"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ind w:left="108"/>
              <w:rPr>
                <w:sz w:val="24"/>
                <w:szCs w:val="24"/>
              </w:rPr>
            </w:pPr>
            <w:r w:rsidRPr="00A3261C">
              <w:rPr>
                <w:sz w:val="24"/>
                <w:szCs w:val="24"/>
              </w:rPr>
              <w:t>Додаткові вимоги</w:t>
            </w:r>
          </w:p>
        </w:tc>
        <w:tc>
          <w:tcPr>
            <w:tcW w:w="5345" w:type="dxa"/>
            <w:tcBorders>
              <w:top w:val="single" w:sz="4" w:space="0" w:color="000000"/>
              <w:left w:val="single" w:sz="4" w:space="0" w:color="000000"/>
              <w:bottom w:val="single" w:sz="4" w:space="0" w:color="000000"/>
              <w:right w:val="single" w:sz="4" w:space="0" w:color="000000"/>
            </w:tcBorders>
            <w:hideMark/>
          </w:tcPr>
          <w:p w:rsidR="00A3261C" w:rsidRPr="00A3261C" w:rsidRDefault="00A3261C" w:rsidP="00A3261C">
            <w:pPr>
              <w:pStyle w:val="TableParagraph"/>
              <w:tabs>
                <w:tab w:val="left" w:pos="248"/>
              </w:tabs>
              <w:ind w:left="247"/>
              <w:rPr>
                <w:sz w:val="24"/>
                <w:szCs w:val="24"/>
              </w:rPr>
            </w:pPr>
            <w:r w:rsidRPr="00A3261C">
              <w:rPr>
                <w:sz w:val="24"/>
                <w:szCs w:val="24"/>
              </w:rPr>
              <w:t>Відсутні</w:t>
            </w:r>
          </w:p>
        </w:tc>
      </w:tr>
    </w:tbl>
    <w:p w:rsidR="00992B58" w:rsidRDefault="00992B58" w:rsidP="00A3261C">
      <w:pPr>
        <w:tabs>
          <w:tab w:val="left" w:pos="142"/>
        </w:tabs>
        <w:spacing w:after="0" w:line="240" w:lineRule="auto"/>
        <w:jc w:val="both"/>
        <w:rPr>
          <w:rFonts w:ascii="Times New Roman" w:hAnsi="Times New Roman" w:cs="Times New Roman"/>
          <w:sz w:val="24"/>
          <w:szCs w:val="24"/>
          <w:lang w:val="uk-UA"/>
        </w:rPr>
      </w:pPr>
    </w:p>
    <w:p w:rsidR="00A3261C" w:rsidRPr="00A3261C" w:rsidRDefault="00A3261C" w:rsidP="00A3261C">
      <w:pPr>
        <w:tabs>
          <w:tab w:val="left" w:pos="142"/>
        </w:tabs>
        <w:spacing w:after="0" w:line="240" w:lineRule="auto"/>
        <w:jc w:val="both"/>
        <w:rPr>
          <w:rFonts w:ascii="Times New Roman" w:hAnsi="Times New Roman" w:cs="Times New Roman"/>
          <w:sz w:val="24"/>
          <w:szCs w:val="24"/>
          <w:lang w:val="uk-UA"/>
        </w:rPr>
      </w:pPr>
      <w:bookmarkStart w:id="0" w:name="_GoBack"/>
      <w:bookmarkEnd w:id="0"/>
      <w:r w:rsidRPr="00A3261C">
        <w:rPr>
          <w:rFonts w:ascii="Times New Roman" w:hAnsi="Times New Roman" w:cs="Times New Roman"/>
          <w:sz w:val="24"/>
          <w:szCs w:val="24"/>
          <w:lang w:val="uk-UA"/>
        </w:rPr>
        <w:tab/>
        <w:t xml:space="preserve">* Замовник доручає </w:t>
      </w:r>
      <w:proofErr w:type="spellStart"/>
      <w:r w:rsidRPr="00A3261C">
        <w:rPr>
          <w:rFonts w:ascii="Times New Roman" w:hAnsi="Times New Roman" w:cs="Times New Roman"/>
          <w:sz w:val="24"/>
          <w:szCs w:val="24"/>
          <w:lang w:val="uk-UA"/>
        </w:rPr>
        <w:t>проєктній</w:t>
      </w:r>
      <w:proofErr w:type="spellEnd"/>
      <w:r w:rsidRPr="00A3261C">
        <w:rPr>
          <w:rFonts w:ascii="Times New Roman" w:hAnsi="Times New Roman" w:cs="Times New Roman"/>
          <w:sz w:val="24"/>
          <w:szCs w:val="24"/>
          <w:lang w:val="uk-UA"/>
        </w:rPr>
        <w:t xml:space="preserve"> організації здійснити аналіз цін на матеріальні ресурси (</w:t>
      </w:r>
      <w:r>
        <w:rPr>
          <w:rFonts w:ascii="Times New Roman" w:hAnsi="Times New Roman" w:cs="Times New Roman"/>
          <w:sz w:val="24"/>
          <w:szCs w:val="24"/>
          <w:lang w:val="uk-UA"/>
        </w:rPr>
        <w:t>за</w:t>
      </w:r>
      <w:r w:rsidRPr="00A3261C">
        <w:rPr>
          <w:rFonts w:ascii="Times New Roman" w:hAnsi="Times New Roman" w:cs="Times New Roman"/>
          <w:sz w:val="24"/>
          <w:szCs w:val="24"/>
          <w:lang w:val="uk-UA"/>
        </w:rPr>
        <w:t xml:space="preserve"> рівних якісних характеристик) в Південному регіоні, які склалися на момент розробки </w:t>
      </w:r>
      <w:proofErr w:type="spellStart"/>
      <w:r w:rsidRPr="00A3261C">
        <w:rPr>
          <w:rFonts w:ascii="Times New Roman" w:hAnsi="Times New Roman" w:cs="Times New Roman"/>
          <w:sz w:val="24"/>
          <w:szCs w:val="24"/>
          <w:lang w:val="uk-UA"/>
        </w:rPr>
        <w:t>проєктної</w:t>
      </w:r>
      <w:proofErr w:type="spellEnd"/>
      <w:r w:rsidRPr="00A3261C">
        <w:rPr>
          <w:rFonts w:ascii="Times New Roman" w:hAnsi="Times New Roman" w:cs="Times New Roman"/>
          <w:sz w:val="24"/>
          <w:szCs w:val="24"/>
          <w:lang w:val="uk-UA"/>
        </w:rPr>
        <w:t xml:space="preserve"> документації.</w:t>
      </w:r>
    </w:p>
    <w:p w:rsidR="00A3261C" w:rsidRPr="00A3261C" w:rsidRDefault="00A3261C" w:rsidP="00A3261C">
      <w:pPr>
        <w:spacing w:after="0" w:line="240" w:lineRule="auto"/>
        <w:jc w:val="both"/>
        <w:rPr>
          <w:rFonts w:ascii="Times New Roman" w:hAnsi="Times New Roman" w:cs="Times New Roman"/>
          <w:sz w:val="24"/>
          <w:szCs w:val="24"/>
          <w:lang w:val="uk-UA"/>
        </w:rPr>
      </w:pPr>
      <w:r w:rsidRPr="00A3261C">
        <w:rPr>
          <w:rFonts w:ascii="Times New Roman" w:hAnsi="Times New Roman" w:cs="Times New Roman"/>
          <w:sz w:val="24"/>
          <w:szCs w:val="24"/>
          <w:lang w:val="uk-UA"/>
        </w:rPr>
        <w:tab/>
        <w:t>Окрім аналізу даних, наведених у поточній редакції збірника документів та роз’яснень «Ціноутворення  у будівництві», отримати не менше 3 комерційних цінових пропозицій від виробників основних матеріальних ресурсів. Отримані комерційні пропозиції долучити до протоколу визначення цін на матеріальні ресурси як невід’ємний додаток.</w:t>
      </w:r>
    </w:p>
    <w:p w:rsidR="00A3261C" w:rsidRDefault="00A3261C" w:rsidP="00A3261C">
      <w:pPr>
        <w:tabs>
          <w:tab w:val="left" w:pos="5257"/>
        </w:tabs>
        <w:spacing w:after="0" w:line="240"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A3261C">
        <w:rPr>
          <w:rFonts w:ascii="Times New Roman" w:hAnsi="Times New Roman" w:cs="Times New Roman"/>
          <w:sz w:val="24"/>
          <w:szCs w:val="24"/>
          <w:lang w:val="uk-UA"/>
        </w:rPr>
        <w:t xml:space="preserve">Протокол визначення цін на матеріальні ресурси складається і погоджується </w:t>
      </w:r>
      <w:proofErr w:type="spellStart"/>
      <w:r w:rsidRPr="00A3261C">
        <w:rPr>
          <w:rFonts w:ascii="Times New Roman" w:hAnsi="Times New Roman" w:cs="Times New Roman"/>
          <w:sz w:val="24"/>
          <w:szCs w:val="24"/>
          <w:lang w:val="uk-UA"/>
        </w:rPr>
        <w:t>проєктною</w:t>
      </w:r>
      <w:proofErr w:type="spellEnd"/>
      <w:r w:rsidRPr="00A3261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B53392" w:rsidRPr="00A3261C" w:rsidRDefault="00A3261C" w:rsidP="00A3261C">
      <w:pPr>
        <w:tabs>
          <w:tab w:val="left" w:pos="5257"/>
        </w:tabs>
        <w:spacing w:after="0" w:line="240" w:lineRule="auto"/>
        <w:ind w:left="-142"/>
        <w:jc w:val="both"/>
        <w:rPr>
          <w:rFonts w:ascii="Times New Roman" w:eastAsia="Times New Roman" w:hAnsi="Times New Roman" w:cs="Times New Roman"/>
          <w:b/>
          <w:sz w:val="24"/>
          <w:szCs w:val="24"/>
          <w:lang w:val="uk-UA"/>
        </w:rPr>
      </w:pPr>
      <w:r>
        <w:rPr>
          <w:rFonts w:ascii="Times New Roman" w:hAnsi="Times New Roman" w:cs="Times New Roman"/>
          <w:sz w:val="24"/>
          <w:szCs w:val="24"/>
          <w:lang w:val="uk-UA"/>
        </w:rPr>
        <w:t xml:space="preserve">  </w:t>
      </w:r>
      <w:r w:rsidRPr="00A3261C">
        <w:rPr>
          <w:rFonts w:ascii="Times New Roman" w:hAnsi="Times New Roman" w:cs="Times New Roman"/>
          <w:sz w:val="24"/>
          <w:szCs w:val="24"/>
          <w:lang w:val="uk-UA"/>
        </w:rPr>
        <w:t>організацією.</w:t>
      </w:r>
    </w:p>
    <w:sectPr w:rsidR="00B53392" w:rsidRPr="00A3261C"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CF" w:rsidRDefault="001850CF">
      <w:pPr>
        <w:spacing w:after="0" w:line="240" w:lineRule="auto"/>
      </w:pPr>
      <w:r>
        <w:separator/>
      </w:r>
    </w:p>
  </w:endnote>
  <w:endnote w:type="continuationSeparator" w:id="0">
    <w:p w:rsidR="001850CF" w:rsidRDefault="0018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CF" w:rsidRDefault="001850CF">
      <w:pPr>
        <w:spacing w:after="0" w:line="240" w:lineRule="auto"/>
      </w:pPr>
      <w:r>
        <w:separator/>
      </w:r>
    </w:p>
  </w:footnote>
  <w:footnote w:type="continuationSeparator" w:id="0">
    <w:p w:rsidR="001850CF" w:rsidRDefault="0018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CF" w:rsidRPr="004548EE" w:rsidRDefault="001850CF">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992B58">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D807C4"/>
    <w:multiLevelType w:val="hybridMultilevel"/>
    <w:tmpl w:val="1F464A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3B6FB2"/>
    <w:multiLevelType w:val="hybridMultilevel"/>
    <w:tmpl w:val="08E4519A"/>
    <w:lvl w:ilvl="0" w:tplc="E9A4BB00">
      <w:start w:val="1"/>
      <w:numFmt w:val="decimal"/>
      <w:lvlText w:val="%1."/>
      <w:lvlJc w:val="left"/>
      <w:pPr>
        <w:ind w:left="502" w:hanging="360"/>
      </w:pPr>
      <w:rPr>
        <w:rFonts w:hint="default"/>
        <w:b w:val="0"/>
      </w:rPr>
    </w:lvl>
    <w:lvl w:ilvl="1" w:tplc="04220019" w:tentative="1">
      <w:start w:val="1"/>
      <w:numFmt w:val="lowerLetter"/>
      <w:lvlText w:val="%2."/>
      <w:lvlJc w:val="left"/>
      <w:pPr>
        <w:ind w:left="-1821" w:hanging="360"/>
      </w:pPr>
    </w:lvl>
    <w:lvl w:ilvl="2" w:tplc="0422001B" w:tentative="1">
      <w:start w:val="1"/>
      <w:numFmt w:val="lowerRoman"/>
      <w:lvlText w:val="%3."/>
      <w:lvlJc w:val="right"/>
      <w:pPr>
        <w:ind w:left="-1101" w:hanging="180"/>
      </w:pPr>
    </w:lvl>
    <w:lvl w:ilvl="3" w:tplc="0422000F" w:tentative="1">
      <w:start w:val="1"/>
      <w:numFmt w:val="decimal"/>
      <w:lvlText w:val="%4."/>
      <w:lvlJc w:val="left"/>
      <w:pPr>
        <w:ind w:left="-381" w:hanging="360"/>
      </w:pPr>
    </w:lvl>
    <w:lvl w:ilvl="4" w:tplc="04220019" w:tentative="1">
      <w:start w:val="1"/>
      <w:numFmt w:val="lowerLetter"/>
      <w:lvlText w:val="%5."/>
      <w:lvlJc w:val="left"/>
      <w:pPr>
        <w:ind w:left="339" w:hanging="360"/>
      </w:pPr>
    </w:lvl>
    <w:lvl w:ilvl="5" w:tplc="0422001B" w:tentative="1">
      <w:start w:val="1"/>
      <w:numFmt w:val="lowerRoman"/>
      <w:lvlText w:val="%6."/>
      <w:lvlJc w:val="right"/>
      <w:pPr>
        <w:ind w:left="1059" w:hanging="180"/>
      </w:pPr>
    </w:lvl>
    <w:lvl w:ilvl="6" w:tplc="0422000F" w:tentative="1">
      <w:start w:val="1"/>
      <w:numFmt w:val="decimal"/>
      <w:lvlText w:val="%7."/>
      <w:lvlJc w:val="left"/>
      <w:pPr>
        <w:ind w:left="1779" w:hanging="360"/>
      </w:pPr>
    </w:lvl>
    <w:lvl w:ilvl="7" w:tplc="04220019" w:tentative="1">
      <w:start w:val="1"/>
      <w:numFmt w:val="lowerLetter"/>
      <w:lvlText w:val="%8."/>
      <w:lvlJc w:val="left"/>
      <w:pPr>
        <w:ind w:left="2499" w:hanging="360"/>
      </w:pPr>
    </w:lvl>
    <w:lvl w:ilvl="8" w:tplc="0422001B" w:tentative="1">
      <w:start w:val="1"/>
      <w:numFmt w:val="lowerRoman"/>
      <w:lvlText w:val="%9."/>
      <w:lvlJc w:val="right"/>
      <w:pPr>
        <w:ind w:left="3219" w:hanging="180"/>
      </w:pPr>
    </w:lvl>
  </w:abstractNum>
  <w:abstractNum w:abstractNumId="24">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4">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5">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15"/>
  </w:num>
  <w:num w:numId="8">
    <w:abstractNumId w:val="28"/>
  </w:num>
  <w:num w:numId="9">
    <w:abstractNumId w:val="25"/>
  </w:num>
  <w:num w:numId="10">
    <w:abstractNumId w:val="30"/>
  </w:num>
  <w:num w:numId="11">
    <w:abstractNumId w:val="27"/>
  </w:num>
  <w:num w:numId="12">
    <w:abstractNumId w:val="29"/>
  </w:num>
  <w:num w:numId="13">
    <w:abstractNumId w:val="37"/>
  </w:num>
  <w:num w:numId="14">
    <w:abstractNumId w:val="32"/>
  </w:num>
  <w:num w:numId="15">
    <w:abstractNumId w:val="17"/>
  </w:num>
  <w:num w:numId="16">
    <w:abstractNumId w:val="24"/>
  </w:num>
  <w:num w:numId="17">
    <w:abstractNumId w:val="18"/>
  </w:num>
  <w:num w:numId="18">
    <w:abstractNumId w:val="16"/>
  </w:num>
  <w:num w:numId="19">
    <w:abstractNumId w:val="19"/>
  </w:num>
  <w:num w:numId="20">
    <w:abstractNumId w:val="22"/>
  </w:num>
  <w:num w:numId="21">
    <w:abstractNumId w:val="35"/>
  </w:num>
  <w:num w:numId="22">
    <w:abstractNumId w:val="36"/>
  </w:num>
  <w:num w:numId="23">
    <w:abstractNumId w:val="13"/>
  </w:num>
  <w:num w:numId="24">
    <w:abstractNumId w:val="11"/>
  </w:num>
  <w:num w:numId="25">
    <w:abstractNumId w:val="10"/>
  </w:num>
  <w:num w:numId="26">
    <w:abstractNumId w:val="26"/>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2"/>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850CF"/>
    <w:rsid w:val="00203F41"/>
    <w:rsid w:val="0022007A"/>
    <w:rsid w:val="002911CD"/>
    <w:rsid w:val="002B07E4"/>
    <w:rsid w:val="00340160"/>
    <w:rsid w:val="004132D7"/>
    <w:rsid w:val="00495C85"/>
    <w:rsid w:val="004D371D"/>
    <w:rsid w:val="004E16A7"/>
    <w:rsid w:val="00614D8B"/>
    <w:rsid w:val="006527A3"/>
    <w:rsid w:val="006A0CD0"/>
    <w:rsid w:val="006A1D80"/>
    <w:rsid w:val="006C4685"/>
    <w:rsid w:val="00725583"/>
    <w:rsid w:val="007E0947"/>
    <w:rsid w:val="008344EB"/>
    <w:rsid w:val="0092239E"/>
    <w:rsid w:val="00992B58"/>
    <w:rsid w:val="009A232A"/>
    <w:rsid w:val="009E34F6"/>
    <w:rsid w:val="009F6E9F"/>
    <w:rsid w:val="00A3261C"/>
    <w:rsid w:val="00A831E0"/>
    <w:rsid w:val="00AD3E7E"/>
    <w:rsid w:val="00B53392"/>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D014D"/>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455298611">
      <w:bodyDiv w:val="1"/>
      <w:marLeft w:val="0"/>
      <w:marRight w:val="0"/>
      <w:marTop w:val="0"/>
      <w:marBottom w:val="0"/>
      <w:divBdr>
        <w:top w:val="none" w:sz="0" w:space="0" w:color="auto"/>
        <w:left w:val="none" w:sz="0" w:space="0" w:color="auto"/>
        <w:bottom w:val="none" w:sz="0" w:space="0" w:color="auto"/>
        <w:right w:val="none" w:sz="0" w:space="0" w:color="auto"/>
      </w:divBdr>
    </w:div>
    <w:div w:id="58198466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4964945">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894779996">
      <w:bodyDiv w:val="1"/>
      <w:marLeft w:val="0"/>
      <w:marRight w:val="0"/>
      <w:marTop w:val="0"/>
      <w:marBottom w:val="0"/>
      <w:divBdr>
        <w:top w:val="none" w:sz="0" w:space="0" w:color="auto"/>
        <w:left w:val="none" w:sz="0" w:space="0" w:color="auto"/>
        <w:bottom w:val="none" w:sz="0" w:space="0" w:color="auto"/>
        <w:right w:val="none" w:sz="0" w:space="0" w:color="auto"/>
      </w:divBdr>
    </w:div>
    <w:div w:id="925304609">
      <w:bodyDiv w:val="1"/>
      <w:marLeft w:val="0"/>
      <w:marRight w:val="0"/>
      <w:marTop w:val="0"/>
      <w:marBottom w:val="0"/>
      <w:divBdr>
        <w:top w:val="none" w:sz="0" w:space="0" w:color="auto"/>
        <w:left w:val="none" w:sz="0" w:space="0" w:color="auto"/>
        <w:bottom w:val="none" w:sz="0" w:space="0" w:color="auto"/>
        <w:right w:val="none" w:sz="0" w:space="0" w:color="auto"/>
      </w:divBdr>
    </w:div>
    <w:div w:id="1017542823">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165631505">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230869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12344733">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1115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dgkh@mkrada.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9175</Words>
  <Characters>5231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33</cp:revision>
  <dcterms:created xsi:type="dcterms:W3CDTF">2023-03-01T12:20:00Z</dcterms:created>
  <dcterms:modified xsi:type="dcterms:W3CDTF">2024-02-27T12:08:00Z</dcterms:modified>
</cp:coreProperties>
</file>