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12A1" w14:textId="77777777" w:rsidR="00853827" w:rsidRPr="00542577" w:rsidRDefault="0054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542577">
        <w:rPr>
          <w:rFonts w:ascii="Times New Roman" w:eastAsia="Times New Roman" w:hAnsi="Times New Roman" w:cs="Times New Roman"/>
          <w:b/>
          <w:i/>
          <w:color w:val="000000" w:themeColor="text1"/>
        </w:rPr>
        <w:t>КОМУНАЛЬНЕ ПІДПРИЄМСТВО МИКОЛАЇВСЬКОЇ МІСЬКОЇ РАДИ «МИКОЛАЇВСЬКА РИТУАЛЬНА СЛУЖБА»</w:t>
      </w:r>
    </w:p>
    <w:p w14:paraId="0EBA48FD" w14:textId="77777777" w:rsidR="00853827" w:rsidRPr="00712F2F" w:rsidRDefault="00542577" w:rsidP="0054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lang w:val="ru-RU"/>
        </w:rPr>
      </w:pPr>
      <w:r w:rsidRPr="00542577">
        <w:rPr>
          <w:rFonts w:ascii="Times New Roman" w:eastAsia="Times New Roman" w:hAnsi="Times New Roman" w:cs="Times New Roman"/>
          <w:b/>
          <w:i/>
          <w:color w:val="000000" w:themeColor="text1"/>
        </w:rPr>
        <w:t>(КП ММР «МИКОЛАЇВСЬКА РИТУАЛЬНА СЛУЖБА»</w:t>
      </w:r>
      <w:r w:rsidR="00712F2F">
        <w:rPr>
          <w:rFonts w:ascii="Times New Roman" w:eastAsia="Times New Roman" w:hAnsi="Times New Roman" w:cs="Times New Roman"/>
          <w:b/>
          <w:i/>
          <w:color w:val="000000" w:themeColor="text1"/>
          <w:lang w:val="ru-RU"/>
        </w:rPr>
        <w:t>)</w:t>
      </w:r>
    </w:p>
    <w:p w14:paraId="1B8EC29E" w14:textId="77777777" w:rsidR="00542577" w:rsidRDefault="00542577" w:rsidP="0054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14:paraId="4ECCEBCA" w14:textId="77777777" w:rsidR="00542577" w:rsidRPr="00542577" w:rsidRDefault="00542577" w:rsidP="0054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</w:p>
    <w:p w14:paraId="267E7FDF" w14:textId="77777777" w:rsidR="00853827" w:rsidRPr="00542577" w:rsidRDefault="00542577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42577">
        <w:rPr>
          <w:rFonts w:ascii="Times New Roman" w:eastAsia="Times New Roman" w:hAnsi="Times New Roman" w:cs="Times New Roman"/>
          <w:b/>
        </w:rPr>
        <w:t xml:space="preserve">ОБҐРУНТУВАННЯ </w:t>
      </w:r>
    </w:p>
    <w:p w14:paraId="5DFC5F88" w14:textId="77777777" w:rsidR="00853827" w:rsidRPr="00542577" w:rsidRDefault="00542577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42577">
        <w:rPr>
          <w:rFonts w:ascii="Times New Roman" w:eastAsia="Times New Roman" w:hAnsi="Times New Roman" w:cs="Times New Roman"/>
        </w:rPr>
        <w:t>технічних та якісних характеристик закупівлі</w:t>
      </w:r>
      <w:r w:rsidRPr="00542577">
        <w:t xml:space="preserve"> : </w:t>
      </w:r>
      <w:r w:rsidR="00C23340" w:rsidRPr="00C23340">
        <w:rPr>
          <w:rFonts w:ascii="Times New Roman" w:eastAsia="Times New Roman" w:hAnsi="Times New Roman" w:cs="Times New Roman"/>
          <w:b/>
        </w:rPr>
        <w:t>Поточний ремонт частини об'єкту благоустрою, сектору для почесних військових поховань (Алея Слави), розташованого  на кладовищі Миколаївської міської територіальної громади (кадастровий номер 4824880400:02:002:0004) (код ДК 021-2015 -  45450000-6 - Інші завершальні будівельні роботи)</w:t>
      </w:r>
      <w:r w:rsidRPr="00542577">
        <w:rPr>
          <w:rFonts w:ascii="Times New Roman" w:eastAsia="Times New Roman" w:hAnsi="Times New Roman" w:cs="Times New Roman"/>
          <w:b/>
        </w:rPr>
        <w:t xml:space="preserve">, </w:t>
      </w:r>
      <w:r w:rsidRPr="00542577">
        <w:rPr>
          <w:rFonts w:ascii="Times New Roman" w:eastAsia="Times New Roman" w:hAnsi="Times New Roman" w:cs="Times New Roman"/>
        </w:rPr>
        <w:t>розміру бюджетного призначення, очікуваної вартості предмета закупівлі</w:t>
      </w:r>
    </w:p>
    <w:p w14:paraId="35E9D639" w14:textId="77777777"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42577">
        <w:rPr>
          <w:rFonts w:ascii="Times New Roman" w:eastAsia="Times New Roman" w:hAnsi="Times New Roman" w:cs="Times New Roman"/>
          <w:i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66CC1F2C" w14:textId="77777777"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42577">
        <w:rPr>
          <w:rFonts w:ascii="Times New Roman" w:eastAsia="Times New Roman" w:hAnsi="Times New Roman" w:cs="Times New Roman"/>
          <w:b/>
          <w:i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542577">
        <w:rPr>
          <w:rFonts w:ascii="Times New Roman" w:eastAsia="Times New Roman" w:hAnsi="Times New Roman" w:cs="Times New Roman"/>
        </w:rPr>
        <w:t>КОМУНАЛЬНЕ ПІДПРИЄМСТВО МИКОЛАЇВСЬКОЇ МІСЬКОЇ РАДИ «МИКОЛАЇВСЬКА РИТУАЛЬНА СДУЖБА»</w:t>
      </w:r>
      <w:r>
        <w:rPr>
          <w:rFonts w:ascii="Times New Roman" w:eastAsia="Times New Roman" w:hAnsi="Times New Roman" w:cs="Times New Roman"/>
        </w:rPr>
        <w:t>, ЄДР</w:t>
      </w:r>
      <w:r w:rsidRPr="00542577">
        <w:rPr>
          <w:rFonts w:ascii="Times New Roman" w:eastAsia="Times New Roman" w:hAnsi="Times New Roman" w:cs="Times New Roman"/>
        </w:rPr>
        <w:t>ПОУ 03349134, підприємство, яке забезпечує потреби територіальної громади (отримувач бюджетних коштів).</w:t>
      </w:r>
    </w:p>
    <w:p w14:paraId="3FD4CC5A" w14:textId="77777777" w:rsidR="00712F2F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542577">
        <w:rPr>
          <w:rFonts w:ascii="Times New Roman" w:eastAsia="Times New Roman" w:hAnsi="Times New Roman" w:cs="Times New Roman"/>
          <w:b/>
          <w:i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542577">
        <w:rPr>
          <w:rFonts w:ascii="Times New Roman" w:eastAsia="Times New Roman" w:hAnsi="Times New Roman" w:cs="Times New Roman"/>
          <w:i/>
        </w:rPr>
        <w:t xml:space="preserve"> </w:t>
      </w:r>
      <w:r w:rsidR="00C23340" w:rsidRPr="00C23340">
        <w:rPr>
          <w:rFonts w:ascii="Times New Roman" w:eastAsia="Times New Roman" w:hAnsi="Times New Roman" w:cs="Times New Roman"/>
        </w:rPr>
        <w:t>Поточний ремонт частини об'єкту благоустрою, сектору для почесних військових поховань (Алея Слави), розташованого  на кладовищі Миколаївської міської територіальної громади (кадастровий номер 4824880400:02:002:0004) (код ДК 021-2015 -  45450000-6 - Інші завершальні будівельні роботи)</w:t>
      </w:r>
      <w:r w:rsidR="00712F2F">
        <w:rPr>
          <w:rFonts w:ascii="Times New Roman" w:eastAsia="Times New Roman" w:hAnsi="Times New Roman" w:cs="Times New Roman"/>
        </w:rPr>
        <w:t>.</w:t>
      </w:r>
    </w:p>
    <w:p w14:paraId="61B06BB7" w14:textId="77777777"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542577">
        <w:rPr>
          <w:rFonts w:ascii="Times New Roman" w:eastAsia="Times New Roman" w:hAnsi="Times New Roman" w:cs="Times New Roman"/>
          <w:b/>
        </w:rPr>
        <w:t>Вид процедури закупівлі:</w:t>
      </w:r>
      <w:r w:rsidRPr="0054257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відкриті торги з особливостями.</w:t>
      </w:r>
    </w:p>
    <w:p w14:paraId="48212F36" w14:textId="77777777" w:rsidR="00C23340" w:rsidRPr="003E07CE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542577">
        <w:rPr>
          <w:rFonts w:ascii="Times New Roman" w:eastAsia="Times New Roman" w:hAnsi="Times New Roman" w:cs="Times New Roman"/>
          <w:b/>
        </w:rPr>
        <w:t>Очікувана вартість та обґрунтування очікуваної вартості предмета закупівлі:</w:t>
      </w:r>
      <w:r w:rsidRPr="00542577">
        <w:rPr>
          <w:rFonts w:ascii="Times New Roman" w:eastAsia="Times New Roman" w:hAnsi="Times New Roman" w:cs="Times New Roman"/>
        </w:rPr>
        <w:t>.</w:t>
      </w:r>
      <w:r w:rsidRPr="00542577">
        <w:t xml:space="preserve"> </w:t>
      </w:r>
      <w:r w:rsidR="00C23340" w:rsidRPr="00C23340">
        <w:rPr>
          <w:rFonts w:ascii="Times New Roman" w:eastAsia="Times New Roman" w:hAnsi="Times New Roman" w:cs="Times New Roman"/>
        </w:rPr>
        <w:t>4 705 932,00 грн. (Очікувана вартість включає в себе всі податки, збори, будь–які платежі, будь-які витрати і т.п.)</w:t>
      </w:r>
      <w:r w:rsidR="00712F2F">
        <w:rPr>
          <w:rFonts w:ascii="Times New Roman" w:eastAsia="Times New Roman" w:hAnsi="Times New Roman" w:cs="Times New Roman"/>
        </w:rPr>
        <w:t xml:space="preserve">. </w:t>
      </w:r>
      <w:r w:rsidRPr="00542577">
        <w:rPr>
          <w:rFonts w:ascii="Times New Roman" w:eastAsia="Times New Roman" w:hAnsi="Times New Roman" w:cs="Times New Roman"/>
        </w:rPr>
        <w:t>Визначення очікуваної вар</w:t>
      </w:r>
      <w:r w:rsidR="00C23340">
        <w:rPr>
          <w:rFonts w:ascii="Times New Roman" w:eastAsia="Times New Roman" w:hAnsi="Times New Roman" w:cs="Times New Roman"/>
        </w:rPr>
        <w:t xml:space="preserve">тості предмета закупівлі на підставі </w:t>
      </w:r>
      <w:r w:rsidR="003E07CE" w:rsidRPr="003E07CE">
        <w:rPr>
          <w:rFonts w:ascii="Times New Roman" w:eastAsia="Times New Roman" w:hAnsi="Times New Roman" w:cs="Times New Roman"/>
        </w:rPr>
        <w:t>локально-кошторис</w:t>
      </w:r>
      <w:r w:rsidR="003E07CE">
        <w:rPr>
          <w:rFonts w:ascii="Times New Roman" w:eastAsia="Times New Roman" w:hAnsi="Times New Roman" w:cs="Times New Roman"/>
        </w:rPr>
        <w:t xml:space="preserve">ної документації виконаної сертифікованим інженером-проектувальником згідно договору № 307/б від 24 червня 2024 року за предметом закупівлі: </w:t>
      </w:r>
      <w:r w:rsidR="003E07CE" w:rsidRPr="003E07CE">
        <w:rPr>
          <w:rFonts w:ascii="Times New Roman" w:eastAsia="Times New Roman" w:hAnsi="Times New Roman" w:cs="Times New Roman"/>
        </w:rPr>
        <w:t>Послуги з виготовлення кошторисної документації, дефектного акту та ескізних пропозицій по об'єкту : "Поточний ремонт частини об'єкту благоустрою сектору для почесних військових поховань (Алея Слави) розташованого на кладовищі Миколаївської міської територіальної громади(кадастровий номер 4824880400:02:002:0004)"</w:t>
      </w:r>
      <w:r w:rsidR="003E07CE">
        <w:rPr>
          <w:rFonts w:ascii="Times New Roman" w:eastAsia="Times New Roman" w:hAnsi="Times New Roman" w:cs="Times New Roman"/>
        </w:rPr>
        <w:t xml:space="preserve">, ідентифікатор закупівлі: </w:t>
      </w:r>
      <w:r w:rsidR="003E07CE" w:rsidRPr="003E07CE">
        <w:rPr>
          <w:rFonts w:ascii="Times New Roman" w:eastAsia="Times New Roman" w:hAnsi="Times New Roman" w:cs="Times New Roman"/>
        </w:rPr>
        <w:t>UA-2024-06-25-000743-a</w:t>
      </w:r>
      <w:r w:rsidR="003E07CE">
        <w:rPr>
          <w:rFonts w:ascii="Times New Roman" w:eastAsia="Times New Roman" w:hAnsi="Times New Roman" w:cs="Times New Roman"/>
        </w:rPr>
        <w:t xml:space="preserve">. </w:t>
      </w:r>
    </w:p>
    <w:p w14:paraId="3C1CFB64" w14:textId="2867E633" w:rsidR="0054257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</w:rPr>
      </w:pPr>
      <w:r w:rsidRPr="00EF6F5F">
        <w:rPr>
          <w:rFonts w:ascii="Times New Roman" w:eastAsia="Times New Roman" w:hAnsi="Times New Roman" w:cs="Times New Roman"/>
          <w:b/>
        </w:rPr>
        <w:t>Обґрунтування потреби:</w:t>
      </w:r>
      <w:r w:rsidR="00201ABC" w:rsidRPr="00EF6F5F">
        <w:t xml:space="preserve"> </w:t>
      </w:r>
      <w:r w:rsidR="00860570" w:rsidRPr="00EF6F5F">
        <w:rPr>
          <w:rFonts w:ascii="Times New Roman" w:eastAsia="Times New Roman" w:hAnsi="Times New Roman" w:cs="Times New Roman"/>
        </w:rPr>
        <w:t>згідно</w:t>
      </w:r>
      <w:r w:rsidR="00860570">
        <w:rPr>
          <w:rFonts w:ascii="Times New Roman" w:eastAsia="Times New Roman" w:hAnsi="Times New Roman" w:cs="Times New Roman"/>
        </w:rPr>
        <w:t xml:space="preserve"> положення про сектор почесних військових поховань «Алея Слави» Миколаївської міської територіальної громади затвердженого рішенням виконавчого комітету міської ради від 10.04.2024 № 596 на КП ММР «Миколаївська ритуальна служба» покладено обов’язки з благоустрою сектору почесних військових поховань за рахунок коштів бюджету ММТГ.</w:t>
      </w:r>
      <w:r w:rsidR="00EF6F5F">
        <w:rPr>
          <w:rFonts w:ascii="Times New Roman" w:eastAsia="Times New Roman" w:hAnsi="Times New Roman" w:cs="Times New Roman"/>
        </w:rPr>
        <w:t xml:space="preserve"> </w:t>
      </w:r>
      <w:r w:rsidR="00274B2A">
        <w:rPr>
          <w:rFonts w:ascii="Times New Roman" w:eastAsia="Times New Roman" w:hAnsi="Times New Roman" w:cs="Times New Roman"/>
        </w:rPr>
        <w:t xml:space="preserve">Комплексною програмою підтримки Захисників і Захисниць, членів їх сімей та членів сімей загиблих (померлих) Захисників та Захисниць України м. Миколаєва на 2024-2026 роки (зі змінами) на </w:t>
      </w:r>
      <w:r w:rsidR="00274B2A">
        <w:rPr>
          <w:rFonts w:ascii="Times New Roman" w:eastAsia="Times New Roman" w:hAnsi="Times New Roman" w:cs="Times New Roman"/>
        </w:rPr>
        <w:t>КП ММР «Миколаївська ритуальна служба»</w:t>
      </w:r>
      <w:r w:rsidR="00274B2A">
        <w:rPr>
          <w:rFonts w:ascii="Times New Roman" w:eastAsia="Times New Roman" w:hAnsi="Times New Roman" w:cs="Times New Roman"/>
        </w:rPr>
        <w:t xml:space="preserve"> покладено виконання заходів із встановлення однотипних намогильних споруд на могили загиблих захисників. Для реалізації програми, на місці встановлення намогильних споруд (Алея Слави) необхідно проведення поточного ремонту з урахуванням графічних матеріалів і кошторисної документації.</w:t>
      </w:r>
    </w:p>
    <w:p w14:paraId="3EE4FDD3" w14:textId="77777777" w:rsidR="00853827" w:rsidRPr="00542577" w:rsidRDefault="00542577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42577">
        <w:rPr>
          <w:rFonts w:ascii="Times New Roman" w:eastAsia="Times New Roman" w:hAnsi="Times New Roman" w:cs="Times New Roman"/>
          <w:b/>
        </w:rPr>
        <w:t>Розмір бюджетного призначення:</w:t>
      </w:r>
      <w:r w:rsidRPr="00542577">
        <w:rPr>
          <w:rFonts w:ascii="Times New Roman" w:eastAsia="Times New Roman" w:hAnsi="Times New Roman" w:cs="Times New Roman"/>
        </w:rPr>
        <w:t xml:space="preserve"> </w:t>
      </w:r>
      <w:r w:rsidR="003E07CE">
        <w:rPr>
          <w:rFonts w:ascii="Times New Roman" w:eastAsia="Times New Roman" w:hAnsi="Times New Roman" w:cs="Times New Roman"/>
        </w:rPr>
        <w:t xml:space="preserve">4 705 932,00 </w:t>
      </w:r>
      <w:r w:rsidRPr="00542577">
        <w:rPr>
          <w:rFonts w:ascii="Times New Roman" w:eastAsia="Times New Roman" w:hAnsi="Times New Roman" w:cs="Times New Roman"/>
        </w:rPr>
        <w:t>грн, КЕКВ 2610.</w:t>
      </w:r>
    </w:p>
    <w:p w14:paraId="71EA60F7" w14:textId="77777777" w:rsidR="00712F2F" w:rsidRPr="00712F2F" w:rsidRDefault="00542577" w:rsidP="00712F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542577">
        <w:rPr>
          <w:rFonts w:ascii="Times New Roman" w:eastAsia="Times New Roman" w:hAnsi="Times New Roman" w:cs="Times New Roman"/>
          <w:b/>
        </w:rPr>
        <w:t>Технічні та якісних характеристики предмета закупівлі:</w:t>
      </w:r>
    </w:p>
    <w:p w14:paraId="6C881F05" w14:textId="77777777" w:rsidR="00954559" w:rsidRDefault="00954559" w:rsidP="0095455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 w:eastAsia="en-US"/>
        </w:rPr>
      </w:pPr>
    </w:p>
    <w:p w14:paraId="7452E73E" w14:textId="77777777" w:rsidR="00EF6F5F" w:rsidRDefault="00EF6F5F" w:rsidP="0095455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 w:eastAsia="en-US"/>
        </w:rPr>
      </w:pPr>
    </w:p>
    <w:p w14:paraId="2100136D" w14:textId="77777777" w:rsidR="00EF6F5F" w:rsidRDefault="00EF6F5F" w:rsidP="0095455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 w:eastAsia="en-US"/>
        </w:rPr>
      </w:pPr>
    </w:p>
    <w:p w14:paraId="6BE1CE37" w14:textId="77777777" w:rsidR="00EF6F5F" w:rsidRDefault="00EF6F5F" w:rsidP="0095455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 w:eastAsia="en-US"/>
        </w:rPr>
      </w:pPr>
    </w:p>
    <w:p w14:paraId="2F723985" w14:textId="77777777" w:rsidR="00EF6F5F" w:rsidRDefault="00EF6F5F" w:rsidP="0095455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 w:eastAsia="en-US"/>
        </w:rPr>
      </w:pPr>
    </w:p>
    <w:p w14:paraId="7046CF80" w14:textId="77777777" w:rsidR="00EF6F5F" w:rsidRDefault="00EF6F5F" w:rsidP="0095455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 w:eastAsia="en-US"/>
        </w:rPr>
      </w:pPr>
    </w:p>
    <w:p w14:paraId="1BB36C97" w14:textId="77777777" w:rsidR="00EF6F5F" w:rsidRPr="00954559" w:rsidRDefault="00EF6F5F" w:rsidP="00954559">
      <w:pPr>
        <w:tabs>
          <w:tab w:val="left" w:pos="7275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lang w:val="ru-RU" w:eastAsia="en-US"/>
        </w:rPr>
      </w:pPr>
    </w:p>
    <w:p w14:paraId="3D1AFA41" w14:textId="77777777" w:rsidR="00954559" w:rsidRDefault="00954559" w:rsidP="00954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val="ru-RU"/>
        </w:rPr>
      </w:pPr>
      <w:r>
        <w:rPr>
          <w:rFonts w:ascii="Times New Roman" w:eastAsia="Arial" w:hAnsi="Times New Roman" w:cs="Times New Roman"/>
          <w:b/>
          <w:color w:val="000000"/>
        </w:rPr>
        <w:lastRenderedPageBreak/>
        <w:t xml:space="preserve">Технічне </w:t>
      </w:r>
      <w:proofErr w:type="spellStart"/>
      <w:r>
        <w:rPr>
          <w:rFonts w:ascii="Times New Roman" w:eastAsia="Arial" w:hAnsi="Times New Roman" w:cs="Times New Roman"/>
          <w:b/>
          <w:color w:val="000000"/>
        </w:rPr>
        <w:t>завд</w:t>
      </w:r>
      <w:r>
        <w:rPr>
          <w:rFonts w:ascii="Times New Roman" w:eastAsia="Arial" w:hAnsi="Times New Roman" w:cs="Times New Roman"/>
          <w:b/>
          <w:color w:val="000000"/>
          <w:lang w:val="ru-RU"/>
        </w:rPr>
        <w:t>ання</w:t>
      </w:r>
      <w:proofErr w:type="spellEnd"/>
      <w:r>
        <w:rPr>
          <w:rFonts w:ascii="Times New Roman" w:eastAsia="Arial" w:hAnsi="Times New Roman" w:cs="Times New Roman"/>
          <w:b/>
          <w:color w:val="000000"/>
          <w:lang w:val="ru-RU"/>
        </w:rPr>
        <w:t xml:space="preserve"> </w:t>
      </w:r>
    </w:p>
    <w:p w14:paraId="4EFF57C5" w14:textId="77777777" w:rsidR="00954559" w:rsidRDefault="00954559" w:rsidP="00954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lang w:val="ru-RU"/>
        </w:rPr>
      </w:pP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18"/>
        <w:gridCol w:w="1418"/>
        <w:gridCol w:w="1700"/>
        <w:gridCol w:w="1418"/>
        <w:gridCol w:w="1418"/>
        <w:gridCol w:w="1418"/>
      </w:tblGrid>
      <w:tr w:rsidR="00954559" w:rsidRPr="00954559" w14:paraId="1D54EA2C" w14:textId="77777777" w:rsidTr="00954559">
        <w:trPr>
          <w:trHeight w:val="4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F75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№</w:t>
            </w:r>
          </w:p>
          <w:p w14:paraId="35DB5EC2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Ч.ч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.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FB0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</w:p>
          <w:p w14:paraId="0E808752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Найменування робіт і витрат</w:t>
            </w:r>
          </w:p>
          <w:p w14:paraId="73D41779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702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Одиниця</w:t>
            </w:r>
          </w:p>
          <w:p w14:paraId="41FB3625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виміру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FDF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9C0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Примітка</w:t>
            </w:r>
          </w:p>
        </w:tc>
      </w:tr>
      <w:tr w:rsidR="00954559" w:rsidRPr="00954559" w14:paraId="580ED90F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D9C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3948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504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8F5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B4C5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5</w:t>
            </w:r>
          </w:p>
        </w:tc>
      </w:tr>
      <w:tr w:rsidR="00954559" w:rsidRPr="00954559" w14:paraId="3A2583B7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F91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4BE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Улаштування дорожніх корит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коритного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профілю вручну,</w:t>
            </w:r>
          </w:p>
          <w:p w14:paraId="3EFED73B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глибина корита до 250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03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44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714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8A0B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4295F80D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D467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53DB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Навантаження ґрунту вручну на автомобілі-самоскиди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A345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61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FBB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61007C6D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2F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3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128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Перевезення ґрунту до 22 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BCF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5957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142,7415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5F1B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0D8B291B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57D5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858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Робота на відвалі, група ґрунту 2-3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AC5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A1A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BE0F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4D071167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BA9D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5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FA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Установлення бортових каменів бетонних і</w:t>
            </w:r>
          </w:p>
          <w:p w14:paraId="3C61B29C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залізобетонних при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цементнобетонних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покриттях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D57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8142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8AB5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0AE23C17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797B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6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2E17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Улаштування гумової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бордюрної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стрічки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E9F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39B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9573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1D1B9E8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F3A2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6F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Покриття гранітною плиткою по бетонній основі ТИП1    </w:t>
            </w:r>
          </w:p>
          <w:p w14:paraId="24409B7D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564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E1A0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A172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88F3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0FA55399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B4C6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24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===============================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AD7F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116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6B8F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2A276226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D7CB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7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DF7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прошарку суцільного перерізу з нетканого</w:t>
            </w:r>
          </w:p>
          <w:p w14:paraId="3DBC90B1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синтетичного матеріалу в земляному полотні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A67A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76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113E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327CDBD0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117D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8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F6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Улаштування підстильних та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вирівнювальних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шарів</w:t>
            </w:r>
          </w:p>
          <w:p w14:paraId="2EEFA7D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основи з піщано-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щебневої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суміші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9947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1F2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84,6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ACED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4F3B8FC7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7A9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9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19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бетонної підготовки бетон важкий В 10 (М</w:t>
            </w:r>
          </w:p>
          <w:p w14:paraId="1024D28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150),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крупнiсть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заповнювача 20-40мм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9399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54A2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33,84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507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AD360C9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50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074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цементно-бетонних покриттів</w:t>
            </w:r>
          </w:p>
          <w:p w14:paraId="7BFB60A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одношарових товщиною шару 20 см засобами малої</w:t>
            </w:r>
          </w:p>
          <w:p w14:paraId="75B76278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механізації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8F35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903C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F8A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4876ED5D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5B8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1E4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На кожний 1 см зміни товщини шару додавати або</w:t>
            </w:r>
          </w:p>
          <w:p w14:paraId="1E913EE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виключати до норми 18-34-1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68CD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E3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-564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58F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646B1F38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E6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12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17D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Армування стяжки дротяною сіткою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D55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D8B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564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8800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777185B7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A28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13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03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покриттів з гранітних плит, кількість плит</w:t>
            </w:r>
          </w:p>
          <w:p w14:paraId="7C31BF31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на 1 м2 до 10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шт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(горизонтально)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C39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85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ED4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6DE7EDFE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C15A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14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8DE9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Облицювання стін гранітними плитами полірованими</w:t>
            </w:r>
          </w:p>
          <w:p w14:paraId="41F9F2EB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товщиною 40 мм при кількості плит в 1 м2 понад 4 до 6</w:t>
            </w:r>
          </w:p>
          <w:p w14:paraId="2CE901F5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(вертикально)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CCA7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26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85E7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C937788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BDF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FAED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Покриття ТИП 2,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щебнево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-піщана суміш   444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4C1D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AB3C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E734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2E42F982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5460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DB0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=================================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F0C2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2741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CE38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6803F9C8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ECA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15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EB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прошарку суцільного перерізу з нетканого</w:t>
            </w:r>
          </w:p>
          <w:p w14:paraId="695148A1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синтетичного матеріалу в земляному полотні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2F2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C12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4034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A43291C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674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16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6DFA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основ та покриттів з піщано-гравійних</w:t>
            </w:r>
          </w:p>
          <w:p w14:paraId="51D7D461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сумішей  оптимального гранулометричного складу</w:t>
            </w:r>
          </w:p>
          <w:p w14:paraId="5FFB6ECB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одношарових, товщиною 12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E9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DA5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23E0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E361DD5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DDC2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30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B15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48D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151" w14:textId="77777777" w:rsidR="00954559" w:rsidRPr="00954559" w:rsidRDefault="00954559" w:rsidP="009545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</w:tr>
      <w:tr w:rsidR="00954559" w:rsidRPr="00954559" w14:paraId="7CDD7AAF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277C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17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EE0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На кожний 1 см зміни товщини шару основи та покриття</w:t>
            </w:r>
          </w:p>
          <w:p w14:paraId="06E07560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з піщано-гравійних сумішей додавати або виключати до</w:t>
            </w:r>
          </w:p>
          <w:p w14:paraId="6C0389DC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норм 18-22-1, 18-22-2, 18-22-3 (до товщ. 16 см)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0A5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05E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DB99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6A413249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805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56E6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Відсів з декоративної крихти  ТИП 3  492,3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AD97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533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661D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F2334BC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0CDC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34C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=================================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75C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3B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EB79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5E09B90A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D77B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18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297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прошарку суцільного перерізу з нетканого</w:t>
            </w:r>
          </w:p>
          <w:p w14:paraId="6B823A94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синтетичного матеріалу в земляному полотні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23CB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0F77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37A5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75C8431A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9777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19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7A1D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одношарових покриттів товщиною 15 см із</w:t>
            </w:r>
          </w:p>
          <w:p w14:paraId="652861C1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щебеню з межею міцності на стискання понад 98,1 МПа</w:t>
            </w:r>
          </w:p>
          <w:p w14:paraId="593B244B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[1000кг/см2]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2C3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13CD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492,3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499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13EF9B6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2E44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20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96E2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На кожний 1 см зміни товщини шару додавати або</w:t>
            </w:r>
          </w:p>
          <w:p w14:paraId="69F32E12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виключати до норм 18-26-1, 18-26-2, 18-26-3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5DCE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594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-492,3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C04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67A0AC0A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FF1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21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4C90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Монтаж дрібних металоконструкцій вагою до 0,1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C3F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C838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2,70612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E570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58A33627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7DF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22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07D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Ґрунтування металевих поверхонь за один раз</w:t>
            </w:r>
          </w:p>
          <w:p w14:paraId="63BEBA61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ґрунтовкою ГФ-021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574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14A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CF09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5CF04CF5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649E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23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AAD6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Фарбування металевих поґрунтованих поверхонь</w:t>
            </w:r>
          </w:p>
          <w:p w14:paraId="736F9860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lastRenderedPageBreak/>
              <w:t>емаллю ПФ-115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8367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lastRenderedPageBreak/>
              <w:t>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C8E0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3E00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0370ED53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D5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B3C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Встановлення лав зі спинкою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1FB4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D3D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B69F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00BFCFCB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A6C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3D97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========================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80DA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1179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267A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5F87073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E6F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24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14E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Копання ям для встановлення стояків та стовпів</w:t>
            </w:r>
          </w:p>
          <w:p w14:paraId="1A90A846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глибиною 0,7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3BFA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C8A6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788C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635CEE33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A3B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25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BAF4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Улаштування бетонних фундаментів загального</w:t>
            </w:r>
          </w:p>
          <w:p w14:paraId="7963DD4E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призначення під колони об'ємом до 3 м3 бетон важкий В</w:t>
            </w:r>
          </w:p>
          <w:p w14:paraId="072E0229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15 (М 200),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крупнiсть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заповнювача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бiльше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8616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AD64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0,432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C665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2CADD781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EBD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26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E4C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Установлення 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A58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788D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71C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3748A791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2A89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85D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Бетонування пам'ятника в ряду №31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3CAF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F7C3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ED26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5D937262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3A91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C529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============================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2BC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EBCB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F1C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45199A22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F1F0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27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8A4F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Бетонування пам'ятника бетон важкий В 20 (М 250),</w:t>
            </w:r>
          </w:p>
          <w:p w14:paraId="10ABD7F0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крупнiсть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заповнювача </w:t>
            </w:r>
            <w:proofErr w:type="spellStart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бiльше</w:t>
            </w:r>
            <w:proofErr w:type="spellEnd"/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40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092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м3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653A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0C9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05CA0524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DF66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28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05C0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Облицювання стін гранітними плитами полірованими</w:t>
            </w:r>
          </w:p>
          <w:p w14:paraId="347E6B59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товщиною 40 мм при кількості плит в 1 м2 понад 4 до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295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м2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F262" w14:textId="77777777" w:rsidR="00954559" w:rsidRPr="00954559" w:rsidRDefault="00954559" w:rsidP="000C5C40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74F0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12B20737" w14:textId="77777777" w:rsidTr="009545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369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8D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                Гранітні вироби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855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ABE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215F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  <w:tr w:rsidR="00954559" w:rsidRPr="00954559" w14:paraId="5FF70765" w14:textId="77777777" w:rsidTr="00954559">
        <w:trPr>
          <w:gridAfter w:val="4"/>
          <w:wAfter w:w="5954" w:type="dxa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2CB8A51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5862E40" w14:textId="77777777" w:rsidR="00954559" w:rsidRPr="00954559" w:rsidRDefault="00954559" w:rsidP="00954559">
            <w:pPr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lang w:eastAsia="uk-UA"/>
              </w:rPr>
            </w:pPr>
            <w:r w:rsidRPr="00954559">
              <w:rPr>
                <w:rFonts w:ascii="Times New Roman" w:hAnsi="Times New Roman" w:cs="Times New Roman"/>
                <w:spacing w:val="-5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A92B82" w14:textId="77777777" w:rsidR="00954559" w:rsidRPr="00954559" w:rsidRDefault="00954559" w:rsidP="000C5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 w:rsidRPr="00954559">
              <w:rPr>
                <w:rFonts w:ascii="Times New Roman" w:hAnsi="Times New Roman" w:cs="Times New Roman"/>
                <w:lang w:eastAsia="uk-UA"/>
              </w:rPr>
              <w:t xml:space="preserve"> </w:t>
            </w:r>
          </w:p>
        </w:tc>
      </w:tr>
    </w:tbl>
    <w:p w14:paraId="22E3A07C" w14:textId="77777777" w:rsidR="003E07CE" w:rsidRPr="00954559" w:rsidRDefault="003E07CE" w:rsidP="003E07CE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lang w:val="ru-RU"/>
        </w:rPr>
      </w:pPr>
    </w:p>
    <w:p w14:paraId="11907304" w14:textId="77777777" w:rsidR="003E07CE" w:rsidRPr="00776968" w:rsidRDefault="003E07CE" w:rsidP="003E07C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</w:rPr>
      </w:pPr>
      <w:r w:rsidRPr="00776968">
        <w:rPr>
          <w:rFonts w:ascii="Times New Roman" w:eastAsia="Times New Roman" w:hAnsi="Times New Roman" w:cs="Times New Roman"/>
          <w:b/>
          <w:bCs/>
        </w:rPr>
        <w:t>ТЕХНІЧНІ ВИМОГИ</w:t>
      </w:r>
    </w:p>
    <w:p w14:paraId="6D991C3E" w14:textId="77777777" w:rsidR="003E07CE" w:rsidRPr="00776968" w:rsidRDefault="003E07CE" w:rsidP="003E07CE">
      <w:pPr>
        <w:tabs>
          <w:tab w:val="left" w:pos="284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</w:rPr>
      </w:pPr>
    </w:p>
    <w:p w14:paraId="25DD74C8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 xml:space="preserve">Наявність всіх необхідних, діючих, дозвільних документів, ліцензії, сертифікати для виконання необхідних </w:t>
      </w:r>
      <w:bookmarkStart w:id="0" w:name="_Hlk171708722"/>
      <w:r w:rsidRPr="00776968">
        <w:rPr>
          <w:rFonts w:ascii="Times New Roman" w:eastAsia="Times New Roman" w:hAnsi="Times New Roman" w:cs="Times New Roman"/>
        </w:rPr>
        <w:t xml:space="preserve">послуг </w:t>
      </w:r>
      <w:bookmarkStart w:id="1" w:name="_Hlk148588481"/>
      <w:r w:rsidRPr="00776968">
        <w:rPr>
          <w:rFonts w:ascii="Times New Roman" w:eastAsia="Times New Roman" w:hAnsi="Times New Roman" w:cs="Times New Roman"/>
        </w:rPr>
        <w:t xml:space="preserve">з </w:t>
      </w:r>
      <w:bookmarkEnd w:id="1"/>
      <w:r w:rsidRPr="00776968">
        <w:rPr>
          <w:rFonts w:ascii="Times New Roman" w:eastAsia="Times New Roman" w:hAnsi="Times New Roman" w:cs="Times New Roman"/>
        </w:rPr>
        <w:t>поточного ремонту</w:t>
      </w:r>
      <w:bookmarkEnd w:id="0"/>
      <w:r w:rsidRPr="00776968">
        <w:rPr>
          <w:rFonts w:ascii="Times New Roman" w:eastAsia="Times New Roman" w:hAnsi="Times New Roman" w:cs="Times New Roman"/>
        </w:rPr>
        <w:t>, відповідно до чинного законодавства.</w:t>
      </w:r>
    </w:p>
    <w:p w14:paraId="3BD5D2AE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Своєчасно забезпечувати об’єкт матеріалами, усі матеріали, обладнання та запчастини, що застосовуються при наданні послуг з поточного ремонту повинні бути сертифікованими і відповідати діючим нормативним вимогам.</w:t>
      </w:r>
    </w:p>
    <w:p w14:paraId="150035A1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776968">
        <w:rPr>
          <w:rFonts w:ascii="Times New Roman" w:eastAsia="Times New Roman" w:hAnsi="Times New Roman" w:cs="Times New Roman"/>
        </w:rPr>
        <w:t>Своєчасно усувати, в разі наявності та документального підтвердження, допущені дефекти і недоліки наданих послуг з поточного ремонту.</w:t>
      </w:r>
    </w:p>
    <w:p w14:paraId="441621DA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Учасник несе повну відповідальність у разі виявлення Замовником, невідповідності обсягів і якості наданих послуг з поточного ремонту відповідно до Технічного завдання.</w:t>
      </w:r>
    </w:p>
    <w:p w14:paraId="201D8329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Передати Замовнику, після завершення наданих послуг з поточного ремонту у порядку, передбаченому законодавством відповідну Документацію.</w:t>
      </w:r>
    </w:p>
    <w:p w14:paraId="273D8301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Складати та передавати Замовнику акти наданих послуг</w:t>
      </w:r>
      <w:r w:rsidRPr="00776968">
        <w:rPr>
          <w:rFonts w:ascii="Times New Roman" w:eastAsia="Times New Roman" w:hAnsi="Times New Roman" w:cs="Times New Roman"/>
          <w:strike/>
          <w:color w:val="FF0000"/>
        </w:rPr>
        <w:t xml:space="preserve"> </w:t>
      </w:r>
      <w:r w:rsidRPr="00776968">
        <w:rPr>
          <w:rFonts w:ascii="Times New Roman" w:eastAsia="Times New Roman" w:hAnsi="Times New Roman" w:cs="Times New Roman"/>
        </w:rPr>
        <w:t>з виконання робіт.</w:t>
      </w:r>
    </w:p>
    <w:p w14:paraId="7DD77F4C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776968">
        <w:rPr>
          <w:rFonts w:ascii="Times New Roman" w:eastAsia="Times New Roman" w:hAnsi="Times New Roman" w:cs="Times New Roman"/>
        </w:rPr>
        <w:t>Під час надання послуг з поточного ремонту та після їх закінчення забезпечити прибирання території об’єкта від сміття та залишків матеріалів, що утворилися в процесі надання послуг</w:t>
      </w:r>
      <w:r w:rsidRPr="00776968">
        <w:rPr>
          <w:rFonts w:ascii="Times New Roman" w:eastAsia="Times New Roman" w:hAnsi="Times New Roman" w:cs="Times New Roman"/>
          <w:strike/>
          <w:color w:val="FF0000"/>
        </w:rPr>
        <w:t>.</w:t>
      </w:r>
    </w:p>
    <w:p w14:paraId="4F3B80D1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  <w:tab w:val="left" w:pos="851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При наданні послуг з поточного ремонту дотримуватись вимог Правил охорони праці, пожежної безпеки.</w:t>
      </w:r>
    </w:p>
    <w:p w14:paraId="38C9B5A8" w14:textId="77777777" w:rsidR="003E07CE" w:rsidRPr="00776968" w:rsidRDefault="003E07CE" w:rsidP="003E07CE">
      <w:pPr>
        <w:numPr>
          <w:ilvl w:val="0"/>
          <w:numId w:val="4"/>
        </w:numPr>
        <w:tabs>
          <w:tab w:val="left" w:pos="-720"/>
          <w:tab w:val="left" w:pos="851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Гарантувати якість закінчених послуг з поточного ремонту до вимог чинного законодавства.</w:t>
      </w:r>
    </w:p>
    <w:p w14:paraId="2D4ABECE" w14:textId="77777777" w:rsidR="003E07CE" w:rsidRPr="00776968" w:rsidRDefault="003E07CE" w:rsidP="003E07CE">
      <w:pPr>
        <w:tabs>
          <w:tab w:val="left" w:pos="-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</w:rPr>
      </w:pPr>
    </w:p>
    <w:p w14:paraId="2786B755" w14:textId="77777777" w:rsidR="003E07CE" w:rsidRPr="00776968" w:rsidRDefault="003E07CE" w:rsidP="003E07CE">
      <w:pPr>
        <w:tabs>
          <w:tab w:val="left" w:pos="-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  <w:u w:val="single"/>
        </w:rPr>
        <w:t>Якісні вимоги:</w:t>
      </w:r>
      <w:r w:rsidRPr="00776968">
        <w:rPr>
          <w:rFonts w:ascii="Times New Roman" w:eastAsia="Times New Roman" w:hAnsi="Times New Roman" w:cs="Times New Roman"/>
        </w:rPr>
        <w:t xml:space="preserve"> Учасник повинен надати послуги з поточного ремонту якість яких відповідає технічним умовам та вимогам Замовника.</w:t>
      </w:r>
    </w:p>
    <w:p w14:paraId="76341131" w14:textId="77777777" w:rsidR="003E07CE" w:rsidRPr="00776968" w:rsidRDefault="003E07CE" w:rsidP="003E07CE">
      <w:pPr>
        <w:tabs>
          <w:tab w:val="left" w:pos="-72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FF0000"/>
        </w:rPr>
      </w:pPr>
      <w:r w:rsidRPr="00776968">
        <w:rPr>
          <w:rFonts w:ascii="Times New Roman" w:eastAsia="Times New Roman" w:hAnsi="Times New Roman" w:cs="Times New Roman"/>
        </w:rPr>
        <w:t>Учасник надає 24 місяці гарантії на надані послуги з поточного ремонту.</w:t>
      </w:r>
    </w:p>
    <w:p w14:paraId="4684726C" w14:textId="77777777" w:rsidR="003E07CE" w:rsidRPr="00776968" w:rsidRDefault="003E07CE" w:rsidP="003E07CE">
      <w:pPr>
        <w:keepNext/>
        <w:keepLines/>
        <w:widowControl w:val="0"/>
        <w:tabs>
          <w:tab w:val="left" w:pos="326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2" w:name="bookmark0"/>
      <w:r w:rsidRPr="00776968">
        <w:rPr>
          <w:rFonts w:ascii="Times New Roman" w:eastAsia="Times New Roman" w:hAnsi="Times New Roman" w:cs="Times New Roman"/>
          <w:b/>
        </w:rPr>
        <w:t xml:space="preserve">      Вимоги до надання </w:t>
      </w:r>
      <w:r w:rsidRPr="00776968">
        <w:rPr>
          <w:rFonts w:ascii="Times New Roman" w:eastAsia="Times New Roman" w:hAnsi="Times New Roman" w:cs="Times New Roman"/>
          <w:b/>
          <w:bCs/>
        </w:rPr>
        <w:t>послуг з поточного ремонту</w:t>
      </w:r>
      <w:r w:rsidRPr="00776968">
        <w:rPr>
          <w:rFonts w:ascii="Times New Roman" w:eastAsia="Times New Roman" w:hAnsi="Times New Roman" w:cs="Times New Roman"/>
          <w:b/>
        </w:rPr>
        <w:t>:</w:t>
      </w:r>
      <w:bookmarkEnd w:id="2"/>
    </w:p>
    <w:p w14:paraId="6226692E" w14:textId="77777777" w:rsidR="003E07CE" w:rsidRPr="00776968" w:rsidRDefault="003E07CE" w:rsidP="003E07CE">
      <w:pPr>
        <w:widowControl w:val="0"/>
        <w:numPr>
          <w:ilvl w:val="0"/>
          <w:numId w:val="2"/>
        </w:numPr>
        <w:tabs>
          <w:tab w:val="left" w:pos="346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Послуги з поточного ремонту повинні виконуватись з додержанням вимог ДБН В.2.5-64:2012,</w:t>
      </w:r>
      <w:r w:rsidRPr="00776968">
        <w:rPr>
          <w:rFonts w:ascii="Times New Roman" w:hAnsi="Times New Roman" w:cs="Times New Roman"/>
          <w:color w:val="333333"/>
          <w:shd w:val="clear" w:color="auto" w:fill="FFFFFF"/>
        </w:rPr>
        <w:t xml:space="preserve"> ДСТУ-Н Б В.2.6-212:2016</w:t>
      </w:r>
      <w:r w:rsidRPr="00776968">
        <w:rPr>
          <w:rFonts w:ascii="Times New Roman" w:eastAsia="Times New Roman" w:hAnsi="Times New Roman" w:cs="Times New Roman"/>
        </w:rPr>
        <w:t xml:space="preserve">, </w:t>
      </w:r>
      <w:r w:rsidRPr="00776968">
        <w:rPr>
          <w:rFonts w:ascii="Times New Roman" w:hAnsi="Times New Roman" w:cs="Times New Roman"/>
          <w:color w:val="333333"/>
          <w:shd w:val="clear" w:color="auto" w:fill="FFFFFF"/>
        </w:rPr>
        <w:t>Кошторисних норм України (КНУ) Ресурсні елементні кошторисні норми на ремонтно-будівельні роботи.(Збірник 17,  Вказівки щодо застосування ресурсних елементних кошторисних норм на ремонтно-будівельні роботи (</w:t>
      </w:r>
      <w:proofErr w:type="spellStart"/>
      <w:r w:rsidRPr="00776968">
        <w:rPr>
          <w:rFonts w:ascii="Times New Roman" w:hAnsi="Times New Roman" w:cs="Times New Roman"/>
          <w:color w:val="333333"/>
          <w:shd w:val="clear" w:color="auto" w:fill="FFFFFF"/>
        </w:rPr>
        <w:t>РЕКНр</w:t>
      </w:r>
      <w:proofErr w:type="spellEnd"/>
      <w:r w:rsidRPr="00776968">
        <w:rPr>
          <w:rFonts w:ascii="Times New Roman" w:hAnsi="Times New Roman" w:cs="Times New Roman"/>
          <w:color w:val="333333"/>
          <w:shd w:val="clear" w:color="auto" w:fill="FFFFFF"/>
        </w:rPr>
        <w:t>))</w:t>
      </w:r>
      <w:r w:rsidRPr="00776968">
        <w:rPr>
          <w:rFonts w:ascii="Times New Roman" w:eastAsia="Times New Roman" w:hAnsi="Times New Roman" w:cs="Times New Roman"/>
        </w:rPr>
        <w:t xml:space="preserve"> та з врахуванням Схеми частини об’єкту</w:t>
      </w:r>
      <w:r w:rsidRPr="00776968">
        <w:rPr>
          <w:rFonts w:ascii="Times New Roman" w:hAnsi="Times New Roman" w:cs="Times New Roman"/>
        </w:rPr>
        <w:t xml:space="preserve"> </w:t>
      </w:r>
      <w:r w:rsidRPr="00776968">
        <w:rPr>
          <w:rFonts w:ascii="Times New Roman" w:eastAsia="Times New Roman" w:hAnsi="Times New Roman" w:cs="Times New Roman"/>
        </w:rPr>
        <w:t xml:space="preserve">благоустрою, сектору для почесних військових поховань (Алея Слави), розташованого на кладовищі Миколаївської міської територіальної громади (кадастровий номер 4824880400:02:002:0004). </w:t>
      </w:r>
    </w:p>
    <w:p w14:paraId="769E02A4" w14:textId="77777777" w:rsidR="003E07CE" w:rsidRPr="00776968" w:rsidRDefault="003E07CE" w:rsidP="003E07CE">
      <w:pPr>
        <w:widowControl w:val="0"/>
        <w:numPr>
          <w:ilvl w:val="0"/>
          <w:numId w:val="2"/>
        </w:numPr>
        <w:tabs>
          <w:tab w:val="left" w:pos="34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Виконавець під час надання послуг з поточного ремонту повинен забезпечити нагляд за додержанням правил надання послуг, додержання правил пожежної безпеки, додержання техніки безпеки при наданні послуг з поточного ремонту, уповноваженими особами Виконавця.</w:t>
      </w:r>
    </w:p>
    <w:p w14:paraId="26D8543A" w14:textId="77777777" w:rsidR="003E07CE" w:rsidRPr="00776968" w:rsidRDefault="003E07CE" w:rsidP="003E07CE">
      <w:pPr>
        <w:widowControl w:val="0"/>
        <w:tabs>
          <w:tab w:val="left" w:pos="341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</w:p>
    <w:p w14:paraId="5423F848" w14:textId="77777777" w:rsidR="003E07CE" w:rsidRPr="00776968" w:rsidRDefault="003E07CE" w:rsidP="003E07CE">
      <w:pPr>
        <w:spacing w:after="0" w:line="240" w:lineRule="auto"/>
        <w:ind w:right="-1"/>
        <w:jc w:val="both"/>
        <w:rPr>
          <w:rFonts w:ascii="Times New Roman" w:eastAsiaTheme="minorHAnsi" w:hAnsi="Times New Roman" w:cs="Times New Roman"/>
        </w:rPr>
      </w:pPr>
      <w:r w:rsidRPr="00776968">
        <w:rPr>
          <w:rFonts w:ascii="Times New Roman" w:eastAsiaTheme="minorHAnsi" w:hAnsi="Times New Roman" w:cs="Times New Roman"/>
        </w:rPr>
        <w:t xml:space="preserve">       При складанні договірної ціни необхідно врахувати наступне.</w:t>
      </w:r>
    </w:p>
    <w:p w14:paraId="02F8B960" w14:textId="77777777" w:rsidR="003E07CE" w:rsidRPr="00776968" w:rsidRDefault="003E07CE" w:rsidP="003E07CE">
      <w:pPr>
        <w:spacing w:after="0" w:line="240" w:lineRule="auto"/>
        <w:ind w:left="426" w:right="-1"/>
        <w:jc w:val="both"/>
        <w:rPr>
          <w:rFonts w:ascii="Times New Roman" w:eastAsiaTheme="minorHAnsi" w:hAnsi="Times New Roman" w:cs="Times New Roman"/>
        </w:rPr>
      </w:pPr>
      <w:r w:rsidRPr="00776968">
        <w:rPr>
          <w:rFonts w:ascii="Times New Roman" w:eastAsiaTheme="minorHAnsi" w:hAnsi="Times New Roman" w:cs="Times New Roman"/>
        </w:rPr>
        <w:t xml:space="preserve">Договірна ціна визначається відповідно до вимог КНУ «Настанова з визначення вартості будівництва», </w:t>
      </w:r>
      <w:proofErr w:type="spellStart"/>
      <w:r w:rsidRPr="00776968">
        <w:rPr>
          <w:rFonts w:ascii="Times New Roman" w:eastAsiaTheme="minorHAnsi" w:hAnsi="Times New Roman" w:cs="Times New Roman"/>
        </w:rPr>
        <w:t>затв</w:t>
      </w:r>
      <w:proofErr w:type="spellEnd"/>
      <w:r w:rsidRPr="00776968">
        <w:rPr>
          <w:rFonts w:ascii="Times New Roman" w:eastAsiaTheme="minorHAnsi" w:hAnsi="Times New Roman" w:cs="Times New Roman"/>
        </w:rPr>
        <w:t xml:space="preserve">. Наказом Міністерства розвитку громад та територій України № 281 від </w:t>
      </w:r>
      <w:r w:rsidRPr="00776968">
        <w:rPr>
          <w:rFonts w:ascii="Times New Roman" w:eastAsiaTheme="minorHAnsi" w:hAnsi="Times New Roman" w:cs="Times New Roman"/>
        </w:rPr>
        <w:lastRenderedPageBreak/>
        <w:t>01.11.2021р. «Про затвердження кошторисних норм України у будівництві» та інших вимог чинного законодавства.</w:t>
      </w:r>
    </w:p>
    <w:p w14:paraId="1AEC5BD6" w14:textId="77777777" w:rsidR="003E07CE" w:rsidRPr="00776968" w:rsidRDefault="003E07CE" w:rsidP="003E07CE">
      <w:pPr>
        <w:spacing w:after="0" w:line="240" w:lineRule="auto"/>
        <w:ind w:left="426" w:right="-1"/>
        <w:jc w:val="both"/>
        <w:rPr>
          <w:rFonts w:ascii="Times New Roman" w:eastAsiaTheme="minorHAnsi" w:hAnsi="Times New Roman" w:cs="Times New Roman"/>
        </w:rPr>
      </w:pPr>
    </w:p>
    <w:p w14:paraId="788BF0EA" w14:textId="77777777" w:rsidR="003E07CE" w:rsidRPr="00776968" w:rsidRDefault="003E07CE" w:rsidP="003E07CE">
      <w:pPr>
        <w:widowControl w:val="0"/>
        <w:tabs>
          <w:tab w:val="left" w:pos="815"/>
        </w:tabs>
        <w:spacing w:after="0" w:line="276" w:lineRule="auto"/>
        <w:ind w:left="380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  <w:b/>
        </w:rPr>
        <w:t>Вимоги до окремих матеріалів:</w:t>
      </w:r>
    </w:p>
    <w:p w14:paraId="2BA63F7D" w14:textId="77777777" w:rsidR="003E07CE" w:rsidRPr="00776968" w:rsidRDefault="003E07CE" w:rsidP="003E07CE">
      <w:pPr>
        <w:widowControl w:val="0"/>
        <w:numPr>
          <w:ilvl w:val="0"/>
          <w:numId w:val="3"/>
        </w:numPr>
        <w:tabs>
          <w:tab w:val="left" w:pos="705"/>
        </w:tabs>
        <w:spacing w:after="0" w:line="258" w:lineRule="auto"/>
        <w:ind w:left="420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>Декоративна крихта, фракція 10-20 мм повинна бути білого кольору.</w:t>
      </w:r>
    </w:p>
    <w:p w14:paraId="23DE6944" w14:textId="77777777" w:rsidR="003E07CE" w:rsidRPr="00776968" w:rsidRDefault="003E07CE" w:rsidP="003E07CE">
      <w:pPr>
        <w:widowControl w:val="0"/>
        <w:numPr>
          <w:ilvl w:val="0"/>
          <w:numId w:val="3"/>
        </w:numPr>
        <w:tabs>
          <w:tab w:val="left" w:pos="705"/>
          <w:tab w:val="left" w:pos="1056"/>
        </w:tabs>
        <w:spacing w:after="0" w:line="262" w:lineRule="auto"/>
        <w:ind w:left="420"/>
        <w:jc w:val="both"/>
        <w:rPr>
          <w:rFonts w:ascii="Times New Roman" w:eastAsia="Times New Roman" w:hAnsi="Times New Roman" w:cs="Times New Roman"/>
        </w:rPr>
      </w:pPr>
      <w:r w:rsidRPr="00776968">
        <w:rPr>
          <w:rFonts w:ascii="Times New Roman" w:eastAsia="Times New Roman" w:hAnsi="Times New Roman" w:cs="Times New Roman"/>
        </w:rPr>
        <w:t xml:space="preserve">Плити облицьовувальні із граніту, товщина 30 мм повинні бути чорного кольору та з однієї партії товару, колір кожної плити повинен бути однаковим. На плитах не допускаються </w:t>
      </w:r>
      <w:proofErr w:type="spellStart"/>
      <w:r w:rsidRPr="00776968">
        <w:rPr>
          <w:rFonts w:ascii="Times New Roman" w:eastAsia="Times New Roman" w:hAnsi="Times New Roman" w:cs="Times New Roman"/>
        </w:rPr>
        <w:t>сколи</w:t>
      </w:r>
      <w:proofErr w:type="spellEnd"/>
      <w:r w:rsidRPr="00776968">
        <w:rPr>
          <w:rFonts w:ascii="Times New Roman" w:eastAsia="Times New Roman" w:hAnsi="Times New Roman" w:cs="Times New Roman"/>
        </w:rPr>
        <w:t xml:space="preserve"> та тріщини.  </w:t>
      </w:r>
      <w:r w:rsidRPr="00776968">
        <w:rPr>
          <w:rFonts w:ascii="Times New Roman" w:eastAsia="Times New Roman" w:hAnsi="Times New Roman" w:cs="Times New Roman"/>
          <w:b/>
          <w:bCs/>
        </w:rPr>
        <w:t xml:space="preserve">(Технічні вимоги, щодо розкладки плитки наведена у </w:t>
      </w:r>
      <w:proofErr w:type="spellStart"/>
      <w:r w:rsidRPr="00776968">
        <w:rPr>
          <w:rFonts w:ascii="Times New Roman" w:eastAsia="Times New Roman" w:hAnsi="Times New Roman" w:cs="Times New Roman"/>
          <w:b/>
          <w:bCs/>
        </w:rPr>
        <w:t>Додакту</w:t>
      </w:r>
      <w:proofErr w:type="spellEnd"/>
      <w:r w:rsidRPr="00776968">
        <w:rPr>
          <w:rFonts w:ascii="Times New Roman" w:eastAsia="Times New Roman" w:hAnsi="Times New Roman" w:cs="Times New Roman"/>
          <w:b/>
          <w:bCs/>
        </w:rPr>
        <w:t xml:space="preserve"> 8.)</w:t>
      </w:r>
      <w:r w:rsidRPr="00776968">
        <w:rPr>
          <w:rFonts w:ascii="Times New Roman" w:eastAsia="Times New Roman" w:hAnsi="Times New Roman" w:cs="Times New Roman"/>
        </w:rPr>
        <w:t>.</w:t>
      </w:r>
    </w:p>
    <w:p w14:paraId="26791ACA" w14:textId="77777777" w:rsidR="00712F2F" w:rsidRPr="00712F2F" w:rsidRDefault="00712F2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F057CFF" w14:textId="77777777" w:rsidR="00542577" w:rsidRPr="00542577" w:rsidRDefault="00542577" w:rsidP="00542577">
      <w:pPr>
        <w:jc w:val="both"/>
        <w:rPr>
          <w:rFonts w:ascii="Times New Roman" w:hAnsi="Times New Roman" w:cs="Times New Roman"/>
        </w:rPr>
      </w:pPr>
      <w:r w:rsidRPr="00542577">
        <w:rPr>
          <w:rFonts w:ascii="Times New Roman" w:hAnsi="Times New Roman" w:cs="Times New Roman"/>
        </w:rPr>
        <w:t xml:space="preserve">          </w:t>
      </w:r>
      <w:r w:rsidRPr="00542577">
        <w:rPr>
          <w:rFonts w:ascii="Times New Roman" w:hAnsi="Times New Roman" w:cs="Times New Roman"/>
          <w:b/>
          <w:bCs/>
        </w:rPr>
        <w:t xml:space="preserve"> 6</w:t>
      </w:r>
      <w:r w:rsidRPr="00542577">
        <w:rPr>
          <w:rFonts w:ascii="Times New Roman" w:hAnsi="Times New Roman" w:cs="Times New Roman"/>
        </w:rPr>
        <w:t>.</w:t>
      </w:r>
      <w:r w:rsidR="00776968">
        <w:rPr>
          <w:rFonts w:ascii="Times New Roman" w:hAnsi="Times New Roman" w:cs="Times New Roman"/>
          <w:b/>
          <w:bCs/>
        </w:rPr>
        <w:t>Місце поставки послуг</w:t>
      </w:r>
      <w:r w:rsidRPr="00542577">
        <w:rPr>
          <w:rFonts w:ascii="Times New Roman" w:hAnsi="Times New Roman" w:cs="Times New Roman"/>
          <w:b/>
          <w:bCs/>
        </w:rPr>
        <w:t>:</w:t>
      </w:r>
      <w:r w:rsidRPr="00542577">
        <w:rPr>
          <w:rFonts w:ascii="Times New Roman" w:hAnsi="Times New Roman" w:cs="Times New Roman"/>
        </w:rPr>
        <w:t xml:space="preserve"> </w:t>
      </w:r>
      <w:r w:rsidR="00776968" w:rsidRPr="00776968">
        <w:rPr>
          <w:rFonts w:ascii="Times New Roman" w:hAnsi="Times New Roman" w:cs="Times New Roman"/>
        </w:rPr>
        <w:t xml:space="preserve">кладовище Миколаївської міської територіальної громади що розташоване в межах </w:t>
      </w:r>
      <w:proofErr w:type="spellStart"/>
      <w:r w:rsidR="00776968" w:rsidRPr="00776968">
        <w:rPr>
          <w:rFonts w:ascii="Times New Roman" w:hAnsi="Times New Roman" w:cs="Times New Roman"/>
        </w:rPr>
        <w:t>Баловненської</w:t>
      </w:r>
      <w:proofErr w:type="spellEnd"/>
      <w:r w:rsidR="00776968" w:rsidRPr="00776968">
        <w:rPr>
          <w:rFonts w:ascii="Times New Roman" w:hAnsi="Times New Roman" w:cs="Times New Roman"/>
        </w:rPr>
        <w:t xml:space="preserve"> сільської ради Новоодеського району, Миколаївської області.</w:t>
      </w:r>
    </w:p>
    <w:p w14:paraId="6098EC4C" w14:textId="77777777" w:rsidR="00712F2F" w:rsidRDefault="00542577" w:rsidP="004023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542577">
        <w:rPr>
          <w:rFonts w:ascii="Times New Roman" w:hAnsi="Times New Roman" w:cs="Times New Roman"/>
        </w:rPr>
        <w:t xml:space="preserve">  </w:t>
      </w:r>
      <w:r w:rsidRPr="00542577">
        <w:rPr>
          <w:rFonts w:ascii="Times New Roman" w:hAnsi="Times New Roman" w:cs="Times New Roman"/>
          <w:b/>
          <w:bCs/>
        </w:rPr>
        <w:t>7.</w:t>
      </w:r>
      <w:r w:rsidRPr="00542577">
        <w:rPr>
          <w:rFonts w:ascii="Times New Roman" w:hAnsi="Times New Roman" w:cs="Times New Roman"/>
        </w:rPr>
        <w:t xml:space="preserve"> </w:t>
      </w:r>
      <w:r w:rsidR="00776968">
        <w:rPr>
          <w:rFonts w:ascii="Times New Roman" w:hAnsi="Times New Roman" w:cs="Times New Roman"/>
          <w:b/>
          <w:bCs/>
        </w:rPr>
        <w:t>Умови та строк надання послуг</w:t>
      </w:r>
      <w:r w:rsidRPr="00542577">
        <w:rPr>
          <w:rFonts w:ascii="Times New Roman" w:hAnsi="Times New Roman" w:cs="Times New Roman"/>
          <w:b/>
          <w:bCs/>
        </w:rPr>
        <w:t>:</w:t>
      </w:r>
      <w:r w:rsidR="00712F2F" w:rsidRPr="00712F2F">
        <w:t xml:space="preserve"> </w:t>
      </w:r>
      <w:r w:rsidR="00712F2F" w:rsidRPr="00712F2F">
        <w:rPr>
          <w:rFonts w:ascii="Times New Roman" w:hAnsi="Times New Roman" w:cs="Times New Roman"/>
          <w:b/>
          <w:bCs/>
        </w:rPr>
        <w:t xml:space="preserve"> </w:t>
      </w:r>
      <w:r w:rsidR="0040230A" w:rsidRPr="0040230A">
        <w:rPr>
          <w:rFonts w:ascii="Times New Roman" w:hAnsi="Times New Roman" w:cs="Times New Roman"/>
          <w:bCs/>
        </w:rPr>
        <w:t>Строк надання послуг з поточного ремонту</w:t>
      </w:r>
      <w:r w:rsidR="0040230A">
        <w:rPr>
          <w:rFonts w:ascii="Times New Roman" w:hAnsi="Times New Roman" w:cs="Times New Roman"/>
          <w:bCs/>
        </w:rPr>
        <w:t xml:space="preserve">: до 31.10.2024 року (включно). </w:t>
      </w:r>
      <w:r w:rsidR="0040230A" w:rsidRPr="0040230A">
        <w:rPr>
          <w:rFonts w:ascii="Times New Roman" w:hAnsi="Times New Roman" w:cs="Times New Roman"/>
          <w:bCs/>
        </w:rPr>
        <w:t>Виконавець зобов’язаний приступити до надання Послуг з поточного ремонту передбачених цим Договором та додатками до нього, на протязі 5-ти (п’яти) днів з моменту підписання даного Договору, якщо інше не буде письмово узгоджено Сторонами.</w:t>
      </w:r>
    </w:p>
    <w:p w14:paraId="65ADF926" w14:textId="77777777" w:rsidR="0040230A" w:rsidRPr="0040230A" w:rsidRDefault="0040230A" w:rsidP="0040230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</w:p>
    <w:p w14:paraId="5E3C02F7" w14:textId="77777777" w:rsidR="00853827" w:rsidRPr="0040230A" w:rsidRDefault="00712F2F" w:rsidP="0040230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42577" w:rsidRPr="00542577">
        <w:rPr>
          <w:rFonts w:ascii="Times New Roman" w:hAnsi="Times New Roman" w:cs="Times New Roman"/>
          <w:b/>
          <w:bCs/>
        </w:rPr>
        <w:t>8.</w:t>
      </w:r>
      <w:r w:rsidR="00542577" w:rsidRPr="00542577">
        <w:rPr>
          <w:rFonts w:ascii="Times New Roman" w:hAnsi="Times New Roman" w:cs="Times New Roman"/>
        </w:rPr>
        <w:t xml:space="preserve"> </w:t>
      </w:r>
      <w:r w:rsidR="00542577" w:rsidRPr="00542577">
        <w:rPr>
          <w:rFonts w:ascii="Times New Roman" w:hAnsi="Times New Roman" w:cs="Times New Roman"/>
          <w:b/>
          <w:bCs/>
        </w:rPr>
        <w:t>Умови оплати:</w:t>
      </w:r>
      <w:r w:rsidR="00542577" w:rsidRPr="00542577">
        <w:rPr>
          <w:rFonts w:ascii="Times New Roman" w:hAnsi="Times New Roman" w:cs="Times New Roman"/>
        </w:rPr>
        <w:t xml:space="preserve"> </w:t>
      </w:r>
      <w:r w:rsidR="0040230A" w:rsidRPr="0040230A">
        <w:rPr>
          <w:rFonts w:ascii="Times New Roman" w:hAnsi="Times New Roman" w:cs="Times New Roman"/>
        </w:rPr>
        <w:t>Розрахунки за наданні послуги з поточного ремонту здійснюються в національній  валюті  України - гривні, в безготівковій формі, шляхом прямого грошового переказу коштів,  належних до оплати</w:t>
      </w:r>
      <w:r w:rsidR="0040230A">
        <w:rPr>
          <w:rFonts w:ascii="Times New Roman" w:hAnsi="Times New Roman" w:cs="Times New Roman"/>
        </w:rPr>
        <w:t xml:space="preserve"> відповідно до умов Договору.  </w:t>
      </w:r>
      <w:r w:rsidR="0040230A" w:rsidRPr="0040230A">
        <w:rPr>
          <w:rFonts w:ascii="Times New Roman" w:hAnsi="Times New Roman" w:cs="Times New Roman"/>
        </w:rPr>
        <w:t>Оплата послуг з поточного ремонту (їх частини) здійснюється за умови надання послуг з поточного ремонту згідно з Договором, Додатками до Договору, вимог законодавства та за умови наявності реального фінансування на поточному рахунку Замовника на оплату послуг протягом 15-ти календарних днів з дня підписання уповноваженими представниками Сторін Актів форми КБ-2в та КБ-3.</w:t>
      </w:r>
      <w:r w:rsidR="0040230A">
        <w:rPr>
          <w:rFonts w:ascii="Times New Roman" w:hAnsi="Times New Roman" w:cs="Times New Roman"/>
        </w:rPr>
        <w:t xml:space="preserve"> </w:t>
      </w:r>
      <w:r w:rsidR="0040230A" w:rsidRPr="0040230A">
        <w:rPr>
          <w:rFonts w:ascii="Times New Roman" w:hAnsi="Times New Roman" w:cs="Times New Roman"/>
        </w:rPr>
        <w:t>У разі затримки фінансування розрахунки за надання послуг з поточного ремонту здійснюються при отриманні Замовником фінансування на ці послуги.</w:t>
      </w:r>
    </w:p>
    <w:p w14:paraId="3F4AA79B" w14:textId="77777777" w:rsidR="00853827" w:rsidRPr="00542577" w:rsidRDefault="0085382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853827" w:rsidRPr="00542577">
      <w:headerReference w:type="default" r:id="rId8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5168E" w14:textId="77777777" w:rsidR="00B43ABB" w:rsidRDefault="00B43ABB">
      <w:pPr>
        <w:spacing w:after="0" w:line="240" w:lineRule="auto"/>
      </w:pPr>
      <w:r>
        <w:separator/>
      </w:r>
    </w:p>
  </w:endnote>
  <w:endnote w:type="continuationSeparator" w:id="0">
    <w:p w14:paraId="69416021" w14:textId="77777777" w:rsidR="00B43ABB" w:rsidRDefault="00B43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6DD1C" w14:textId="77777777" w:rsidR="00B43ABB" w:rsidRDefault="00B43ABB">
      <w:pPr>
        <w:spacing w:after="0" w:line="240" w:lineRule="auto"/>
      </w:pPr>
      <w:r>
        <w:separator/>
      </w:r>
    </w:p>
  </w:footnote>
  <w:footnote w:type="continuationSeparator" w:id="0">
    <w:p w14:paraId="44E9D3DC" w14:textId="77777777" w:rsidR="00B43ABB" w:rsidRDefault="00B43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26B0" w14:textId="77777777" w:rsidR="00954559" w:rsidRPr="006571CA" w:rsidRDefault="00954559">
    <w:pPr>
      <w:tabs>
        <w:tab w:val="center" w:pos="4680"/>
        <w:tab w:val="right" w:pos="7710"/>
      </w:tabs>
      <w:autoSpaceDE w:val="0"/>
      <w:autoSpaceDN w:val="0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53C83"/>
    <w:multiLevelType w:val="hybridMultilevel"/>
    <w:tmpl w:val="127687B4"/>
    <w:lvl w:ilvl="0" w:tplc="3C10825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7DA44"/>
    <w:multiLevelType w:val="multilevel"/>
    <w:tmpl w:val="A3A43418"/>
    <w:lvl w:ilvl="0">
      <w:start w:val="1"/>
      <w:numFmt w:val="decimal"/>
      <w:lvlText w:val="%1."/>
      <w:lvlJc w:val="left"/>
      <w:rPr>
        <w:rFonts w:ascii="Times New Roman" w:hAnsi="Times New Roman"/>
        <w:color w:val="00000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54A1D5E9"/>
    <w:multiLevelType w:val="multilevel"/>
    <w:tmpl w:val="A1801BE6"/>
    <w:lvl w:ilvl="0">
      <w:start w:val="1"/>
      <w:numFmt w:val="bullet"/>
      <w:lvlText w:val="•"/>
      <w:lvlJc w:val="left"/>
      <w:rPr>
        <w:rFonts w:ascii="Arial" w:hAnsi="Arial"/>
        <w:color w:val="000000"/>
        <w:sz w:val="22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60C76E46"/>
    <w:multiLevelType w:val="hybridMultilevel"/>
    <w:tmpl w:val="7B6C525A"/>
    <w:lvl w:ilvl="0" w:tplc="AB74295A">
      <w:start w:val="1"/>
      <w:numFmt w:val="decimal"/>
      <w:lvlText w:val="%1)"/>
      <w:lvlJc w:val="left"/>
      <w:pPr>
        <w:ind w:left="6456" w:hanging="360"/>
      </w:pPr>
      <w:rPr>
        <w:b w:val="0"/>
        <w:bCs w:val="0"/>
        <w:i w:val="0"/>
        <w:strike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3328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2041438">
    <w:abstractNumId w:val="1"/>
  </w:num>
  <w:num w:numId="3" w16cid:durableId="428769101">
    <w:abstractNumId w:val="2"/>
  </w:num>
  <w:num w:numId="4" w16cid:durableId="17619477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3827"/>
    <w:rsid w:val="00176DA8"/>
    <w:rsid w:val="00201ABC"/>
    <w:rsid w:val="00274B2A"/>
    <w:rsid w:val="003E07CE"/>
    <w:rsid w:val="0040230A"/>
    <w:rsid w:val="00542577"/>
    <w:rsid w:val="00712F2F"/>
    <w:rsid w:val="00776968"/>
    <w:rsid w:val="00853827"/>
    <w:rsid w:val="00860570"/>
    <w:rsid w:val="00954559"/>
    <w:rsid w:val="00B43ABB"/>
    <w:rsid w:val="00C23340"/>
    <w:rsid w:val="00E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097D"/>
  <w15:docId w15:val="{1D44E21F-06EA-4168-8876-BA5441FE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2A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5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2577"/>
    <w:pPr>
      <w:spacing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42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257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712F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5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1646</Words>
  <Characters>9385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Дмитрий Прил</cp:lastModifiedBy>
  <cp:revision>3</cp:revision>
  <cp:lastPrinted>2024-07-18T08:26:00Z</cp:lastPrinted>
  <dcterms:created xsi:type="dcterms:W3CDTF">2024-07-18T05:32:00Z</dcterms:created>
  <dcterms:modified xsi:type="dcterms:W3CDTF">2024-07-18T12:25:00Z</dcterms:modified>
</cp:coreProperties>
</file>