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D3" w:rsidRPr="00B51FFE" w:rsidRDefault="004F0BD3" w:rsidP="004F0BD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4F0BD3" w:rsidRPr="00340160" w:rsidRDefault="004F0BD3" w:rsidP="004F0BD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0BD3" w:rsidRPr="00340160" w:rsidRDefault="004F0BD3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B11ECD" w:rsidRPr="00B11ECD" w:rsidRDefault="00A06DB7" w:rsidP="00B11ECD">
      <w:pPr>
        <w:jc w:val="both"/>
        <w:rPr>
          <w:rFonts w:ascii="Times New Roman" w:hAnsi="Times New Roman" w:cs="Times New Roman"/>
          <w:sz w:val="24"/>
          <w:szCs w:val="24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1ECD" w:rsidRPr="00B11ECD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B11ECD" w:rsidRPr="00B11ECD">
        <w:rPr>
          <w:rFonts w:ascii="Times New Roman" w:hAnsi="Times New Roman" w:cs="Times New Roman"/>
          <w:sz w:val="24"/>
          <w:szCs w:val="24"/>
        </w:rPr>
        <w:t xml:space="preserve"> ремонт дороги по </w:t>
      </w:r>
      <w:proofErr w:type="spellStart"/>
      <w:r w:rsidR="00B11ECD" w:rsidRPr="00B11EC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B11ECD" w:rsidRPr="00B11ECD">
        <w:rPr>
          <w:rFonts w:ascii="Times New Roman" w:hAnsi="Times New Roman" w:cs="Times New Roman"/>
          <w:sz w:val="24"/>
          <w:szCs w:val="24"/>
        </w:rPr>
        <w:t xml:space="preserve">. 2-а Набережна  м. </w:t>
      </w:r>
      <w:proofErr w:type="spellStart"/>
      <w:r w:rsidR="00B11ECD" w:rsidRPr="00B11ECD">
        <w:rPr>
          <w:rFonts w:ascii="Times New Roman" w:hAnsi="Times New Roman" w:cs="Times New Roman"/>
          <w:sz w:val="24"/>
          <w:szCs w:val="24"/>
        </w:rPr>
        <w:t>Миколаєві</w:t>
      </w:r>
      <w:proofErr w:type="spellEnd"/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ECD" w:rsidRPr="00B11ECD">
        <w:rPr>
          <w:rFonts w:ascii="Times New Roman" w:hAnsi="Times New Roman" w:cs="Times New Roman"/>
          <w:b/>
          <w:sz w:val="24"/>
          <w:szCs w:val="24"/>
          <w:lang w:val="uk-UA"/>
        </w:rPr>
        <w:t>1,3863 км</w:t>
      </w:r>
      <w:r w:rsidRPr="00B11E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, дорога по вул. 2-а Набережна</w:t>
      </w:r>
      <w:r w:rsidR="008C43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48 460 562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1EC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242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302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за №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514/21Д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815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та вартість устаткування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, що згідно експертного звіту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41 107 846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256 232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Крім того </w:t>
      </w:r>
      <w:proofErr w:type="spellStart"/>
      <w:r w:rsidR="00526376">
        <w:rPr>
          <w:rFonts w:ascii="Times New Roman" w:hAnsi="Times New Roman" w:cs="Times New Roman"/>
          <w:sz w:val="24"/>
          <w:szCs w:val="24"/>
          <w:lang w:val="uk-UA"/>
        </w:rPr>
        <w:t>змінусовано</w:t>
      </w:r>
      <w:proofErr w:type="spellEnd"/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суму коштів на покриття ризиків, що становить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980 276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979 982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294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Загальна цифра складає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3E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40 383 802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 xml:space="preserve">  48 460 562,40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7C2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6444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10 6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21BA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48 460 562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43F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3743F9" w:rsidRDefault="003743F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43F9" w:rsidRDefault="003743F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43F9" w:rsidRDefault="003743F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43F9" w:rsidRDefault="003743F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743F9" w:rsidRDefault="003743F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tbl>
      <w:tblPr>
        <w:tblW w:w="10233" w:type="dxa"/>
        <w:jc w:val="center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6"/>
        <w:gridCol w:w="4618"/>
        <w:gridCol w:w="681"/>
        <w:gridCol w:w="1418"/>
        <w:gridCol w:w="1420"/>
        <w:gridCol w:w="1363"/>
        <w:gridCol w:w="56"/>
      </w:tblGrid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Капітальний ремонт дорожнього покриття по вул. 2-а Набережна в м. Миколаєві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3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3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Підготовка території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gridAfter w:val="1"/>
          <w:wAfter w:w="56" w:type="dxa"/>
          <w:jc w:val="center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навантаженням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0,25 м3,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1252,5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81,876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112,17012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112,17012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59,17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142,008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134,856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2100 мм та глибиною 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13050,9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10 мм зміни глибини фрезерування додавати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або виключати до норми 18-3-1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13050,9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до 2 км на базу ЕЛУ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876,106917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покриттів з фігурних елементів мощення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2,916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6,9984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6,9984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бортових каменів ГП1 зі зберіганням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1609,7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2009,6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10,47015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 50% зі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збереженням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198,74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щебеню  до 1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149,055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149,055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67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7,776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rPr>
          <w:jc w:val="center"/>
        </w:trPr>
        <w:tc>
          <w:tcPr>
            <w:tcW w:w="1023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3743F9" w:rsidRPr="003743F9" w:rsidRDefault="003743F9" w:rsidP="00374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743F9" w:rsidRPr="003743F9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92" w:type="dxa"/>
        <w:tblInd w:w="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4"/>
        <w:gridCol w:w="94"/>
        <w:gridCol w:w="9"/>
        <w:gridCol w:w="381"/>
        <w:gridCol w:w="9"/>
        <w:gridCol w:w="54"/>
        <w:gridCol w:w="18"/>
        <w:gridCol w:w="83"/>
        <w:gridCol w:w="542"/>
        <w:gridCol w:w="153"/>
        <w:gridCol w:w="11"/>
        <w:gridCol w:w="9"/>
        <w:gridCol w:w="3114"/>
        <w:gridCol w:w="120"/>
        <w:gridCol w:w="14"/>
        <w:gridCol w:w="50"/>
        <w:gridCol w:w="15"/>
        <w:gridCol w:w="428"/>
        <w:gridCol w:w="86"/>
        <w:gridCol w:w="13"/>
        <w:gridCol w:w="16"/>
        <w:gridCol w:w="16"/>
        <w:gridCol w:w="81"/>
        <w:gridCol w:w="639"/>
        <w:gridCol w:w="13"/>
        <w:gridCol w:w="30"/>
        <w:gridCol w:w="24"/>
        <w:gridCol w:w="59"/>
        <w:gridCol w:w="12"/>
        <w:gridCol w:w="1261"/>
        <w:gridCol w:w="18"/>
        <w:gridCol w:w="51"/>
        <w:gridCol w:w="16"/>
        <w:gridCol w:w="57"/>
        <w:gridCol w:w="12"/>
        <w:gridCol w:w="1267"/>
        <w:gridCol w:w="16"/>
        <w:gridCol w:w="8"/>
        <w:gridCol w:w="33"/>
        <w:gridCol w:w="17"/>
        <w:gridCol w:w="1164"/>
        <w:gridCol w:w="9"/>
        <w:gridCol w:w="44"/>
        <w:gridCol w:w="175"/>
        <w:gridCol w:w="31"/>
      </w:tblGrid>
      <w:tr w:rsidR="003743F9" w:rsidRPr="003743F9" w:rsidTr="003743F9">
        <w:tc>
          <w:tcPr>
            <w:tcW w:w="1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Видалення зелених насаджень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35" w:type="dxa"/>
            <w:gridSpan w:val="2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30" w:type="dxa"/>
            <w:gridSpan w:val="2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35" w:type="dxa"/>
            <w:gridSpan w:val="2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30" w:type="dxa"/>
            <w:gridSpan w:val="2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0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39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3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Формувальне обрізування дерев висотою до 5 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Звалювання вручну в міських умовах сухостійних дерев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твердих листяних порід висотою понад 3 м, діаметр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30 см до 40 см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Звалювання з кореня дерев м'яких порід, діаметр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стовбура понад 24 см до 32 см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Корчування пнів у ґрунтах природного залягання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викорчовувачами-збирачами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тракторі потужністю 79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пнів до 5 м, діаметр пнів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понад 32 см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пнів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природного залягання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викорчовувачами-збирачами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тракторi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79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кВт [108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.]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перемiщенням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5 м,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32 см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пнів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1343" w:type="dxa"/>
            <w:gridSpan w:val="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54" w:type="dxa"/>
            <w:gridSpan w:val="4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1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1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gridSpan w:val="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Автомобільна дорога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Підготовчі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1924,2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екскаваторiв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глибина корита до 250 мм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(під бортовий камінь)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861,3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1044,5625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Будівельні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ковера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ковер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ковера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(від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ковер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опор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плит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кiлець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1000 мм (нових)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перекриття кілець 2ПП 15-2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Встановлення чавунних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люкiв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опорні КО6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з ПЩС С7,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861,3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природних при інших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видах покриттів (1609,7м.п. від розбирання)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2871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Камені бортові із осадових гірських порід, марка 1ГП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1263,3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2 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Нова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конструкція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117,02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геотекстильного матеріалу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двошарових, нижній шар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основи та покриття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піщано-гравійних сумішей додавати або виключати до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 18-22-1, 18-22-2, 18-22-3 (всього 21 см.)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двошарових, верхній шар товщиною 10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основи та покриття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піщано-гравійних сумішей додавати або виключати до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 18-22-1, 18-22-2, 18-22-3 (всього 12 см.)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18-42-5 (всього 5 см.)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112,3392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1,2л/м2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1,40424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армуючого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синтетичного матеріалу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геокомпозиту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18-43-1 (всього 5см)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139,2538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0,3л/м2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0,35106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1170,2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асфальтобетонні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АСГ.Др.Щ.А.НП.І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БМПА 60/90-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139,2538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№4.  ТИП 1 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Відновлення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Ремонт щебеневих основ доріг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одношарового товщиною 50 мм, площею ремонту до 5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одношарового товщиною 50 мм, площею ремонту понад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м2 до 25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0,3л/м2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3,78555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1501,6015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1,2л/м2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15,1422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армуючого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синтетичного матеріалу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геокомпозиту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12618,5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12618,5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1501,6015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12618,5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асфальтобетонні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АСГ.Др.Щ.А.НП.І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БМПА 60/90-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1501,6015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Паркувальні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кишені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75,4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геотекстильного матеріалу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двошарових, нижній шар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основи та покриття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піщано-гравійних сумішей додавати або виключати до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 18-22-1, 18-22-2, 18-22-3 (всього 21)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двошарових, верхній шар товщиною 10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основи та покриття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 піщано-гравійних сумішей додавати або виключати до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норм 18-22-1, 18-22-2, 18-22-3 (всього 12)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18-42-5 (всього 5 см)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89,726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1,2л/м2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0,9048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армуючого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синтетичного матеріалу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геокомпозиту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виключати до норми 18-43-1 (всього 5 см)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89,726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0,3л/м2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0,2262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асфальтобетонні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АСГ.Др.Щ.А.НП.І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БМПА 60/90-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89,726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743F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Пересічення та примикання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0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39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3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Ремонт щебеневих основ доріг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0,3л/м2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0,12972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51,4556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бітум 1,2л/м2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0,51888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армуючого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синтетичного матеріалу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геокомпозиту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432,4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432,4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пористий]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нижніх шарах покриттів, дрібнозернисті, марка 1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51,4556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432,4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07" w:type="dxa"/>
            <w:gridSpan w:val="1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Суміші асфальтобетонні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АСГ.Др.Щ.А.НП.І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БМПА 60/90-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51,4556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Зовнішнє електропостачання (освітлення)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104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Підвішування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самоутримних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ізольованих проводів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напругою від 0,4 кВ до 1 кВ з використанням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автогідропідіймача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при кількості опор 5 одиниць на 100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 [4 прольоти по 25 м] 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днмонтаж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Кабель до 35 кВ, що прокладається по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установлених конструкціях і лотках з кріпленням на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поворотах і в кінці траси, маса 1 м до 2 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(Демонтаж) Установлення залізобетонних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одностоякових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опор для ВЛ 0,38 кВ і 6-10 кВ [із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траверсами]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опоpа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демонтованих опор транспортом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загального призначення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10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Шафа [пульт] керування навісна, висота, ширина 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глибина до 600х600х350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Щит управління зовнішнім освітленням з обліком 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модемом ЩУЗО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Конструкції металеві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Кронштейн для шафи ШУЗО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крупність заповнювача більше 40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0,216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одно-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дво-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 стіні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або колоні, струм до 25 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3Р 25А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х.С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ВА47-100 3Р 25А С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MVA20-3-025-C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нових опор транспортом загального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призначення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10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Установлення залізобетонних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одностоякових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опор для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ВЛ 0,38 кВ і 6-10 кВ [із траверсами]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опоpа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Стояки для опор високовольтних ліній електропередачі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вібровані, довжина 10,5 м, СВ 105-5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основи під фундаменти щебеневої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37,92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Світильник з кронштейном на опорі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Світильник ДСУ 05У-150-1-714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64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Кронштейн КРН-5 на опору СВ-105-5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Підвішування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самоутримних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ізольованих проводів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напругою від 0,4 кВ до 1 кВ з використанням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автогідропідіймача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при кількості опор 5 одиниць на 100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 [4 прольоти по 25 м]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Самонесучий ізольований провід, марка СІП-5, переріз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4х25 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Кабель з алюмінієвими жилами ПВХ ізоляцією напругою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660в перерізом 3х2,5мм2 АВВГ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112,5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Гак під бандажну стрічку КБО 16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Стрічка бандажна ЛМ-50 ІЕК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Скрiпа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CГ-20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Затискач натяжний ЗА 2.1 (2х16-25)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Затискач підтримуючий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ЗПНш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1500 EKOLINE UZA-15-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D16-D95-1-EKLN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Затискач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проколюючий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ЗОИ 16-70/1,5-10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Затискач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проколюючий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ЗОИ 16-95/2,5-35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Ковпачок кінцевий КИ 6-35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Гільза з'єднувальна ізольована фасадна для СІП-5 ГИФ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 IEK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розрядників вручну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Обмежувач перенапруги TTD 151 F PROTECT 28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Sicame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Крепіжні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елементи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======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заземлення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опор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========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заземлювача із 1 електрода для ВЛ 0,38-10 кВ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кругла ф25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0,433125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кругла ф8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0,1817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Приєднування до затискачів жил проводів або кабелів,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переріз до 35 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Затискач ПА-1-1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Наконечник мідний 6мм2 UNP40-006-04-04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=======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заземлення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ЩУЗО=======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ґрунтів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заземлювача із 1 електрода для ВЛ 0,38-10 кВ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кругла ф25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0,028875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8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Заземлювач горизонтальний у траншеї зі сталі круглої,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діаметр 8 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Сталь кругла ф8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0,00316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котлованів і ям,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Приєднування до затискачів жил проводів або кабелів,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переріз до 35 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Затискач ПА-1-1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основах з мідного ізольованого проводу перерізом 25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Провід ПВ3 1х6мм2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Вимірювання опору ізоляції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мегаомметром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кабельних 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інших ліній, напруга до 1 кВ, призначених для передачі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електроенергії розподільним пристроям, щитам, шафам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 комутаційним апаратам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Лінія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Пристрої, що заземлюють. Вимірювання опору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розтіканню струму заземлювача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Вимір.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8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470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Пристрої, що заземлюють. Замір повного опору кола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«фаза - нуль»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Струмопр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1343" w:type="dxa"/>
            <w:gridSpan w:val="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gridSpan w:val="1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gridSpan w:val="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4"/>
          <w:wBefore w:w="21" w:type="dxa"/>
          <w:wAfter w:w="258" w:type="dxa"/>
          <w:jc w:val="center"/>
        </w:trPr>
        <w:tc>
          <w:tcPr>
            <w:tcW w:w="10013" w:type="dxa"/>
            <w:gridSpan w:val="4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Облаштування та обстановка дороги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4"/>
          <w:wBefore w:w="21" w:type="dxa"/>
          <w:wAfter w:w="258" w:type="dxa"/>
          <w:jc w:val="center"/>
        </w:trPr>
        <w:tc>
          <w:tcPr>
            <w:tcW w:w="519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4"/>
          <w:wBefore w:w="21" w:type="dxa"/>
          <w:wAfter w:w="258" w:type="dxa"/>
          <w:jc w:val="center"/>
        </w:trPr>
        <w:tc>
          <w:tcPr>
            <w:tcW w:w="10013" w:type="dxa"/>
            <w:gridSpan w:val="4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4"/>
          <w:wBefore w:w="21" w:type="dxa"/>
          <w:wAfter w:w="258" w:type="dxa"/>
          <w:jc w:val="center"/>
        </w:trPr>
        <w:tc>
          <w:tcPr>
            <w:tcW w:w="519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4"/>
          <w:wBefore w:w="21" w:type="dxa"/>
          <w:wAfter w:w="258" w:type="dxa"/>
          <w:jc w:val="center"/>
        </w:trPr>
        <w:tc>
          <w:tcPr>
            <w:tcW w:w="10013" w:type="dxa"/>
            <w:gridSpan w:val="4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дорожніх знаків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одному стояку під час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копання ям вручну, однобічних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одному стояку під час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копання ям вручну, двобічних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одному стояку під час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копання ям механізовано, однобічних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Стояки металеві марки СКМ 1.35, довжиною 3,5 м,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40х3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Стояки металеві марки СКМ 2.45 довжиною 4,5 м,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53х3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Стояки металеві марки СКМ 3.45 довжиною 4,5 м,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70х3 мм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5.88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1.1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1.2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1.32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2.2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2.3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5.42.1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5.38.1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5.38.2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5.43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5.44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5.88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5.89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7.3.1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7.6.1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7.6.4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7.9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Шляховi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знаки  7.17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стальних опор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Опора металева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безфланцева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Підвішування проводів (трос для підвішування знаків)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Трос сталевий, діаметр 11 мм (40м.п)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41,59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0,596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1.2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2,458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1.5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0,534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1.6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0,375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1.7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0,522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1.11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1.12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10,6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1.13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1.14.1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1.15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маркірувальними машинами, тип лінії 1.18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1.16.1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1.16.2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1.16.3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1.16.4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1.28.3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1.34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24,7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1.35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1.36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1.37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10,7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 по трафарету, тип лінії 1.38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Копання ям для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глибиною до 0,7 м, 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7,425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7,425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огорожі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4,745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(перила металеве ) 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4,745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4,745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2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поверхонь порошковою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П-ЭП-45 сіра</w:t>
            </w:r>
          </w:p>
        </w:tc>
        <w:tc>
          <w:tcPr>
            <w:tcW w:w="1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214,5</w:t>
            </w:r>
          </w:p>
        </w:tc>
        <w:tc>
          <w:tcPr>
            <w:tcW w:w="1291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1343" w:type="dxa"/>
            <w:gridSpan w:val="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gridSpan w:val="1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3" w:type="dxa"/>
            <w:gridSpan w:val="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10272" w:type="dxa"/>
            <w:gridSpan w:val="44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3"/>
          <w:wBefore w:w="21" w:type="dxa"/>
          <w:wAfter w:w="249" w:type="dxa"/>
          <w:jc w:val="center"/>
        </w:trPr>
        <w:tc>
          <w:tcPr>
            <w:tcW w:w="10022" w:type="dxa"/>
            <w:gridSpan w:val="4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3"/>
          <w:wBefore w:w="21" w:type="dxa"/>
          <w:wAfter w:w="249" w:type="dxa"/>
          <w:jc w:val="center"/>
        </w:trPr>
        <w:tc>
          <w:tcPr>
            <w:tcW w:w="519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gridSpan w:val="2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3"/>
          <w:wBefore w:w="21" w:type="dxa"/>
          <w:wAfter w:w="249" w:type="dxa"/>
          <w:jc w:val="center"/>
        </w:trPr>
        <w:tc>
          <w:tcPr>
            <w:tcW w:w="10022" w:type="dxa"/>
            <w:gridSpan w:val="4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3"/>
          <w:wBefore w:w="21" w:type="dxa"/>
          <w:wAfter w:w="249" w:type="dxa"/>
          <w:jc w:val="center"/>
        </w:trPr>
        <w:tc>
          <w:tcPr>
            <w:tcW w:w="519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gridSpan w:val="2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3"/>
          <w:wBefore w:w="21" w:type="dxa"/>
          <w:wAfter w:w="249" w:type="dxa"/>
          <w:jc w:val="center"/>
        </w:trPr>
        <w:tc>
          <w:tcPr>
            <w:tcW w:w="10022" w:type="dxa"/>
            <w:gridSpan w:val="41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Продавлювання труб діаметром 250 - 300мм на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довжину понад 10 до 30 м без розробки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[прокол]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97,3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22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піщаної основи під трубопроводи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 поліетиленових діаметром 250 мм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(футляр)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 поліетиленових діаметром 300 мм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(футляр)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Протягування ПЕ труб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110 мм у футляр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 поліетиленових діаметром 110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колодязів круглих водопровідних із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збірного залізобетону в мокрих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19,89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Кiльця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КС-10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 1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КС15.9 залізобетонні серія 3.900.1-14 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покриття 1ПП15-2 залізобетонні серія 3.900.1-14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покриття 1ПП10-2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випуск 1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днищ ПН10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залiзобетоннi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серiя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днищ ПН15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опорні КО6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 чавунний для колодязів легкий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відводів, колін, патрубків,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переходів діаметром 110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58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поліетиленових трійників діаметром 110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84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70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Промивання з дезінфекцією трубопроводів діаметром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Зливова каналізація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03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2" w:type="dxa"/>
            <w:gridSpan w:val="2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03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2" w:type="dxa"/>
            <w:gridSpan w:val="2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9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ґрунтів 2 /при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розробцi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траншей/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1314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зачищення дна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викидом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39,42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кріплень з укосами, група ґрунтів 2 в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мiсцях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знаходяться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прокладенi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трубопроводах або коробах, а також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водопровiдних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6,28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1359,2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пневматичними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1359,2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200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250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300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400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Пробивання отворів в залізобетонних колодязях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14,815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КС10.9 залізобетонні серія 3.900.1-14 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покриття ПП10-2 залізобетонні серія 3.900.1-14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опорні КО6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опорні ПД6 залізобетонні серія 3.900.1-14 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днищ ПН10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65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0" w:type="dxa"/>
            <w:gridSpan w:val="17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 чавунний для колодязів легкий із запірним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пристроєм ВЧ-50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Встановлення водовідвідних лотків посиленої серії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BetoMax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Basic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CompoMax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Basic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шириною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гідравлічного перерізу 500 мм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Лоток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водоотводный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BetoMax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ЛВ-30.38.41-Б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бетонный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решёткой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щелевой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чугунной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дорожной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ВЧД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кл.Е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(комплект) 047015.   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Заглушка торцева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полімербетонна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ЗЛВ-30.38.41-П для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лотка водовідвідного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Встановлення трьохсекційних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пісковловлювачів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посиленої серії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BetoMax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Basic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или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CompoMax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для лотків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гідравлічного перерізу 200 мм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Дощеприймальний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колодязь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BetoMax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ДП–30.38.44–Б-В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(з верхньої, середньої та нижньої частинами)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щебеневих подушок під фундаменти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10,0335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фундаментів загального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призначення об'ємом до 5 м3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20,73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стальних конструкцій, що залишаються 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тілі бетону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устаткування виду посудин або апаратів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механізмів на відкритій площадці, маса устаткування 0,1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Сепаратор нафтопродуктів і піску OLPSH700 -15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Standartpark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фільтрами доочистки продукт . 15 л / с 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склопластиковий , D= 1400  ,  L= 5600 мм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Сепаратор нафтопродуктів і піску OLPSH700 -30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Standartpark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фільтрами доочистки продукт . 30 л / с 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склопластиковий , D= 1600   ,  L= 7000 мм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пневматичними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1, 2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основи з піщано-гравійної суміші, жорстви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12,75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матеріалів, 0,3л/м2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0,12972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А, марка 1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10,115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Колодязь розподільчий D=1400, Н=1500 мм з драбиною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Колодязь збірний D=1400, Н=1500 мм з драбиною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основи з піщано-гравійної суміші, жорстви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13,6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12,75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збірних лотків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50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Лотки водовідвідні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BetoMax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Drive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ЛВ-10.16.23-Б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бетоний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решіткою (комплект)</w:t>
            </w:r>
          </w:p>
        </w:tc>
        <w:tc>
          <w:tcPr>
            <w:tcW w:w="14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1"/>
          <w:wBefore w:w="20" w:type="dxa"/>
          <w:wAfter w:w="31" w:type="dxa"/>
          <w:jc w:val="center"/>
        </w:trPr>
        <w:tc>
          <w:tcPr>
            <w:tcW w:w="10241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190" w:type="dxa"/>
            <w:gridSpan w:val="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287" w:type="dxa"/>
            <w:gridSpan w:val="4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gridSpan w:val="1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61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Розроблення ґрунту у відвал екскаваторами "драглайн"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або "зворотна лопата"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місткістю 0,25 м3,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ґрунтів 2 /при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розробцi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траншей/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Доробка вручну, зачищення дна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стiнок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викидом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котлованах i траншеях, розроблених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2052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кріплень з укосами, група ґрунтів 2 в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мiсцях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знаходяться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вiдстанi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кабелiв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що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прокладенi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 трубопроводах або коробах, а також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вiд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водопровiдних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труб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Засипка траншей і котлованів бульдозерами потужністю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59 кВт [80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.] з переміщенням ґрунту до 5 м,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707,2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пневматичними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1, 2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707,2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200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трубопроводів із безнапірних труб діаметром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круглих збірних залізобетонних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каналізаційних колодязів діаметром 1 м у сухих ґрунтах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Кільця КС10.9 залізобетонні серія 3.900.1-14 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покриття ПП10-2 залізобетонні серія 3.900.1-14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Плити днищ ПН10 залізобетонні серія 3.900.1-14 випуск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Люк чавунний для колодязів легкий із запірним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пристроєм ВЧ-50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Пробивання отворів в залізобетонних колодязях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Водопропускні труби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07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ґрунту у котлованах екскаватором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Komatsu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PW 170 ES-6, місткість ковша 0,8 м3 у відвал, ґрунт ІІ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щебеневих подушок під фундаменти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4,21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ланок середньої частини труби №12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Обмазувальна гідроізоляція бітумною мастикою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двошарова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двошарової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бітумною мастикою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траншей і котлованів бульдозером Б-100,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відстань переміщення ґрунту до 5 м, ґрунт ІІ групи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Влаштування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оголовків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ґрунту у котлованах екскаватором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Komatsu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PW 170 ES-6, місткість ковша 0,8 м3 у відвал, ґрунт ІІ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піщано-щебеневих подушок під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фундаменти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потральної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стінки №34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оголовка конічного №27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ср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 частина12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блоків укісної стіни №38 п/л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1,96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траншей і котлованів бульдозером Б-100,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відстань переміщення ґрунту до 5 м, ґрунт ІІ групи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ґрунтів 1,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щебеневих подушок під фундаменти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Укріплення укосів земляного полотна монолітними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бетонними плитами товщиною до 10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2,31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арматурних сіток в монолітних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фундаментах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0,00509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Укріплення укосів земляного полотна монолітними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бетонними плитами товщиною до 10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0,00046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арматурних сіток в монолітних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фундаментах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0,0295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монолітних фундаментів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Укріплення укосів земляного полотна монолітними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бетонними плитами товщиною до 10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15,72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418"/>
              <w:gridCol w:w="1418"/>
              <w:gridCol w:w="1418"/>
            </w:tblGrid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Розробка ґрунту у котлованах екскаватором </w:t>
                  </w:r>
                  <w:proofErr w:type="spellStart"/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Komatsu</w:t>
                  </w:r>
                  <w:proofErr w:type="spellEnd"/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PW 170 ES-6, місткість ковша 0,8 м3 у відвал, ґрунт ІІ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групи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 xml:space="preserve"> 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18,5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lastRenderedPageBreak/>
                    <w:t>23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щебеневих подушок під фундаменти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0,21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монолітних фундаментів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0,62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Укладання ланок середньої частини труби ТВ50.25-1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0,35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Обмазувальна гідроізоляція бітумною мастикою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двошарова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0,67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гідроізоляції обклеювальної двошарової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бітумною мастикою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Засипання траншей і котлованів бульдозером Б-100,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відстань переміщення ґрунту до 5 м, ґрунт ІІ групи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12,58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Пісок природний, рядовий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12,58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Ущільнення ґрунту пневматичними трамбівками, група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ґрунтів 1, 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12,58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Розробка ґрунту у котлованах екскаватором </w:t>
                  </w:r>
                  <w:proofErr w:type="spellStart"/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Komatsu</w:t>
                  </w:r>
                  <w:proofErr w:type="spellEnd"/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PW 170 ES-6, місткість ковша 0,8 м3 у відвал, ґрунт ІІ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групи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піщано-щебеневих подушок під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фундаменти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Укріплення укосів земляного полотна монолітними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бетонними плитами товщиною до 10 см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2,31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арматурних сіток в монолітних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фундаментах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0,01653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Укріплення укосів земляного полотна монолітними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бетонними плитами товщиною до 10 см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7,52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36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Розробка ґрунту у котлованах екскаватором </w:t>
                  </w:r>
                  <w:proofErr w:type="spellStart"/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Komatsu</w:t>
                  </w:r>
                  <w:proofErr w:type="spellEnd"/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PW 170 ES-6, місткість ковша 0,8 м3 у відвал, ґрунт ІІ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групи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67,5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Ущільнення ґрунту пневматичними трамбівками, група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ґрунтів 1, 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6,75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38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Улаштування щебеневих подушок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39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Установлення арматурних сіток в монолітних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фундаментах (100*100*60, 4.44кг/м2)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0,888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Укріплення укосів земляного полотна монолітними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бетонними плитами товщиною до 10 см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При укріпленні укосів земляного полотна монолітними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бетонними плитами товщиною понад 10 см додавати на</w:t>
                  </w:r>
                </w:p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кожний 1 см зміни товщини плити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м2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43F9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43F9" w:rsidRPr="003743F9" w:rsidTr="0076575A">
              <w:trPr>
                <w:jc w:val="center"/>
              </w:trPr>
              <w:tc>
                <w:tcPr>
                  <w:tcW w:w="10203" w:type="dxa"/>
                  <w:gridSpan w:val="5"/>
                  <w:tcBorders>
                    <w:top w:val="single" w:sz="12" w:space="0" w:color="auto"/>
                  </w:tcBorders>
                  <w:vAlign w:val="center"/>
                  <w:hideMark/>
                </w:tcPr>
                <w:p w:rsidR="003743F9" w:rsidRPr="003743F9" w:rsidRDefault="003743F9" w:rsidP="003743F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43F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тротуарів, пандусів.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07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6306,1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1418,8725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 бортовий камінь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940,62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до 15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940,62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щебеню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149,055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щебеню  до 1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149,055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одношарових, товщиною 12 см матеріал від розбирання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740,62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основу до 100 мм БР100.20.8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2806,7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БР100.20.8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2806,7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БР100.30.18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328,7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БР100.30.18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328,7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геотекстильного матеріалу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5855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5834,21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товщина 80 мм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6108,41787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поверхнею із тактильними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індікаторами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 з поверхнею із тактильними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індікаторами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457,1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2"/>
          <w:wBefore w:w="7" w:type="dxa"/>
          <w:wAfter w:w="206" w:type="dxa"/>
          <w:jc w:val="center"/>
        </w:trPr>
        <w:tc>
          <w:tcPr>
            <w:tcW w:w="56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407" w:type="dxa"/>
            <w:gridSpan w:val="18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сумішей оптимального гранулометричного складу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457,1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457,1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А, марка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45,6096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щебеневих подушок під фундаменти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14,85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траншей і котлованів бульдозером Б-100,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відстань переміщення ґрунту до 5 м, ґрунт ІІ групи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дорожніх покриттів із збірних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залізобетонних плит прямокутних (ПАГ-14)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Копання ям для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глибиною до 0,7 м, 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огорожі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(перила металеве )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поверхонь порошковою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П-ЭП-45 сіра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Копання ям для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вручну 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без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, глибиною до 0,7 м, 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огорожі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Металоконструкцiї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(перила металеве ) 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0,1825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Фарбування металевих поверхонь порошковою фарбою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П-ЭП-45 сіра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Озеленення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31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531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206" w:type="dxa"/>
          <w:jc w:val="center"/>
        </w:trPr>
        <w:tc>
          <w:tcPr>
            <w:tcW w:w="10066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74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74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Планування ділянки під озеленення механізованим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способом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321,9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374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мавританських та звичайних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321,9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74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Садіння дерев та кущів з квадратною грудкою землі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розміром 1,0х1,0х0,6 м автокраном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64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74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Садіння дерев та кущів з квадратною грудкою землі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розміром 1,0х1,0х0,6 м автокраном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wBefore w:w="20" w:type="dxa"/>
          <w:jc w:val="center"/>
        </w:trPr>
        <w:tc>
          <w:tcPr>
            <w:tcW w:w="10272" w:type="dxa"/>
            <w:gridSpan w:val="4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3"/>
          <w:gridAfter w:val="2"/>
          <w:wBefore w:w="115" w:type="dxa"/>
          <w:wAfter w:w="206" w:type="dxa"/>
          <w:jc w:val="center"/>
        </w:trPr>
        <w:tc>
          <w:tcPr>
            <w:tcW w:w="1260" w:type="dxa"/>
            <w:gridSpan w:val="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07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1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gridSpan w:val="3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Підпірна стіна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5219" w:type="dxa"/>
            <w:gridSpan w:val="20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2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461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Мурування стін із бутового каменю без облицювання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 висоті поверху до 4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навантаженням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0,25 м3,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траншей, що підлягає ущільненню від 0,2 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0,3 м 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від розбирання)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Розроблення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з навантаженням на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</w:t>
            </w:r>
            <w:proofErr w:type="spellEnd"/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 пневмоколісному ходу з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0,25 м3,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група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Ущільнення 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щебенем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залізобетонних підпірних стін і стін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підвалів висотою до 3 м, товщиною до 300 мм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17,6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493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461" w:type="dxa"/>
            <w:gridSpan w:val="1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Засипання траншей, що підлягає ущільненню від 0,2 м</w:t>
            </w:r>
          </w:p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до 0,3 м (</w:t>
            </w:r>
            <w:proofErr w:type="spellStart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грунт</w:t>
            </w:r>
            <w:proofErr w:type="spellEnd"/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від розбирання)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3F9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3,52</w:t>
            </w: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2"/>
          <w:gridAfter w:val="2"/>
          <w:wBefore w:w="21" w:type="dxa"/>
          <w:wAfter w:w="206" w:type="dxa"/>
          <w:jc w:val="center"/>
        </w:trPr>
        <w:tc>
          <w:tcPr>
            <w:tcW w:w="10065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3743F9" w:rsidRPr="003743F9" w:rsidTr="003743F9">
        <w:tblPrEx>
          <w:jc w:val="center"/>
          <w:tblLook w:val="04A0" w:firstRow="1" w:lastRow="0" w:firstColumn="1" w:lastColumn="0" w:noHBand="0" w:noVBand="1"/>
        </w:tblPrEx>
        <w:trPr>
          <w:gridBefore w:val="4"/>
          <w:gridAfter w:val="2"/>
          <w:wBefore w:w="124" w:type="dxa"/>
          <w:wAfter w:w="206" w:type="dxa"/>
          <w:jc w:val="center"/>
        </w:trPr>
        <w:tc>
          <w:tcPr>
            <w:tcW w:w="1260" w:type="dxa"/>
            <w:gridSpan w:val="9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3" w:type="dxa"/>
            <w:gridSpan w:val="5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1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gridSpan w:val="2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6"/>
            <w:hideMark/>
          </w:tcPr>
          <w:p w:rsidR="003743F9" w:rsidRPr="003743F9" w:rsidRDefault="003743F9" w:rsidP="003743F9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43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3743F9" w:rsidRPr="003743F9" w:rsidRDefault="003743F9" w:rsidP="00374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3F9" w:rsidRPr="003743F9" w:rsidRDefault="003743F9" w:rsidP="00374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3F9" w:rsidRPr="003743F9" w:rsidRDefault="003743F9" w:rsidP="003743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3F9" w:rsidRPr="003743F9" w:rsidRDefault="003743F9" w:rsidP="003743F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3F9">
        <w:rPr>
          <w:rFonts w:ascii="Times New Roman" w:eastAsia="Times New Roman" w:hAnsi="Times New Roman" w:cs="Times New Roman"/>
          <w:sz w:val="24"/>
          <w:szCs w:val="24"/>
        </w:rPr>
        <w:t>Кошторисна</w:t>
      </w:r>
      <w:proofErr w:type="spellEnd"/>
      <w:r w:rsidRPr="0037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3F9">
        <w:rPr>
          <w:rFonts w:ascii="Times New Roman" w:eastAsia="Times New Roman" w:hAnsi="Times New Roman" w:cs="Times New Roman"/>
          <w:sz w:val="24"/>
          <w:szCs w:val="24"/>
        </w:rPr>
        <w:t>заробітна</w:t>
      </w:r>
      <w:proofErr w:type="spellEnd"/>
      <w:r w:rsidRPr="003743F9">
        <w:rPr>
          <w:rFonts w:ascii="Times New Roman" w:eastAsia="Times New Roman" w:hAnsi="Times New Roman" w:cs="Times New Roman"/>
          <w:sz w:val="24"/>
          <w:szCs w:val="24"/>
        </w:rPr>
        <w:t xml:space="preserve"> плата -10630 грн.                                                                                                               </w:t>
      </w:r>
      <w:proofErr w:type="spellStart"/>
      <w:r w:rsidRPr="003743F9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Pr="0037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3F9">
        <w:rPr>
          <w:rFonts w:ascii="Times New Roman" w:eastAsia="Times New Roman" w:hAnsi="Times New Roman" w:cs="Times New Roman"/>
          <w:sz w:val="24"/>
          <w:szCs w:val="24"/>
        </w:rPr>
        <w:t>кошторисна</w:t>
      </w:r>
      <w:proofErr w:type="spellEnd"/>
      <w:r w:rsidRPr="0037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3F9">
        <w:rPr>
          <w:rFonts w:ascii="Times New Roman" w:eastAsia="Times New Roman" w:hAnsi="Times New Roman" w:cs="Times New Roman"/>
          <w:sz w:val="24"/>
          <w:szCs w:val="24"/>
        </w:rPr>
        <w:t>трудомісткість</w:t>
      </w:r>
      <w:proofErr w:type="spellEnd"/>
      <w:r w:rsidRPr="003743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3F9">
        <w:rPr>
          <w:rFonts w:ascii="Times New Roman" w:eastAsia="Times New Roman" w:hAnsi="Times New Roman" w:cs="Times New Roman"/>
          <w:sz w:val="24"/>
          <w:szCs w:val="24"/>
          <w:lang w:val="uk-UA"/>
        </w:rPr>
        <w:t>45138</w:t>
      </w:r>
      <w:r w:rsidRPr="003743F9">
        <w:rPr>
          <w:rFonts w:ascii="Times New Roman" w:eastAsia="Times New Roman" w:hAnsi="Times New Roman" w:cs="Times New Roman"/>
          <w:sz w:val="24"/>
          <w:szCs w:val="24"/>
        </w:rPr>
        <w:t xml:space="preserve"> люд.- год</w:t>
      </w:r>
    </w:p>
    <w:p w:rsidR="007D21BA" w:rsidRPr="003743F9" w:rsidRDefault="007D21BA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21BA" w:rsidRPr="003743F9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BD3">
      <w:pPr>
        <w:spacing w:after="0" w:line="240" w:lineRule="auto"/>
      </w:pPr>
      <w:r>
        <w:separator/>
      </w:r>
    </w:p>
  </w:endnote>
  <w:endnote w:type="continuationSeparator" w:id="0">
    <w:p w:rsidR="00000000" w:rsidRDefault="004F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BD3">
      <w:pPr>
        <w:spacing w:after="0" w:line="240" w:lineRule="auto"/>
      </w:pPr>
      <w:r>
        <w:separator/>
      </w:r>
    </w:p>
  </w:footnote>
  <w:footnote w:type="continuationSeparator" w:id="0">
    <w:p w:rsidR="00000000" w:rsidRDefault="004F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C9" w:rsidRPr="006B180E" w:rsidRDefault="007533EB">
    <w:pPr>
      <w:tabs>
        <w:tab w:val="center" w:pos="4564"/>
        <w:tab w:val="right" w:pos="7754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  <w:r>
      <w:rPr>
        <w:rFonts w:ascii="Arial" w:hAnsi="Arial" w:cs="Arial"/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42A00"/>
    <w:rsid w:val="003743F9"/>
    <w:rsid w:val="003A0D0E"/>
    <w:rsid w:val="003D2F74"/>
    <w:rsid w:val="003E5A71"/>
    <w:rsid w:val="004631B9"/>
    <w:rsid w:val="004B6F5D"/>
    <w:rsid w:val="004F0BD3"/>
    <w:rsid w:val="00526376"/>
    <w:rsid w:val="005978EC"/>
    <w:rsid w:val="00656A09"/>
    <w:rsid w:val="00725583"/>
    <w:rsid w:val="007533EB"/>
    <w:rsid w:val="007C2554"/>
    <w:rsid w:val="007D21BA"/>
    <w:rsid w:val="00881567"/>
    <w:rsid w:val="008C433B"/>
    <w:rsid w:val="00945FDF"/>
    <w:rsid w:val="00A029A7"/>
    <w:rsid w:val="00A06DB7"/>
    <w:rsid w:val="00A27722"/>
    <w:rsid w:val="00B11ECD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16C13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uiPriority w:val="99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7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uiPriority w:val="99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7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2022-02-11T11:27:00Z</dcterms:created>
  <dcterms:modified xsi:type="dcterms:W3CDTF">2022-02-11T11:27:00Z</dcterms:modified>
</cp:coreProperties>
</file>